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27A2" w:rsidRPr="00FA0F45" w:rsidRDefault="001327A2" w:rsidP="001327A2">
      <w:pPr>
        <w:pStyle w:val="a7"/>
        <w:spacing w:after="0"/>
        <w:jc w:val="right"/>
        <w:rPr>
          <w:b/>
        </w:rPr>
      </w:pPr>
      <w:r>
        <w:rPr>
          <w:b/>
        </w:rPr>
        <w:t>Додаток</w:t>
      </w:r>
    </w:p>
    <w:p w:rsidR="001327A2" w:rsidRPr="00FA0F45" w:rsidRDefault="001327A2" w:rsidP="001327A2">
      <w:pPr>
        <w:pStyle w:val="a7"/>
        <w:spacing w:after="0"/>
        <w:jc w:val="right"/>
        <w:rPr>
          <w:b/>
        </w:rPr>
      </w:pPr>
      <w:r w:rsidRPr="00FA0F45">
        <w:rPr>
          <w:b/>
        </w:rPr>
        <w:t xml:space="preserve">                                                        </w:t>
      </w:r>
      <w:r>
        <w:rPr>
          <w:b/>
        </w:rPr>
        <w:t xml:space="preserve">до </w:t>
      </w:r>
      <w:r w:rsidR="00495D7B">
        <w:rPr>
          <w:b/>
        </w:rPr>
        <w:t>рішення 25</w:t>
      </w:r>
      <w:r w:rsidRPr="00FA0F45">
        <w:rPr>
          <w:b/>
        </w:rPr>
        <w:t xml:space="preserve"> сесії 8 скликання </w:t>
      </w:r>
    </w:p>
    <w:p w:rsidR="001327A2" w:rsidRPr="00FA0F45" w:rsidRDefault="001845BF" w:rsidP="001327A2">
      <w:pPr>
        <w:pStyle w:val="a7"/>
        <w:spacing w:after="0"/>
        <w:jc w:val="right"/>
        <w:rPr>
          <w:b/>
        </w:rPr>
      </w:pPr>
      <w:r>
        <w:rPr>
          <w:b/>
        </w:rPr>
        <w:t xml:space="preserve">  (</w:t>
      </w:r>
      <w:r w:rsidR="00A82799">
        <w:rPr>
          <w:b/>
        </w:rPr>
        <w:t>восьме</w:t>
      </w:r>
      <w:r w:rsidR="001327A2" w:rsidRPr="00FA0F45">
        <w:rPr>
          <w:b/>
        </w:rPr>
        <w:t xml:space="preserve"> пленарне засідання)</w:t>
      </w:r>
    </w:p>
    <w:p w:rsidR="001327A2" w:rsidRPr="00FA0F45" w:rsidRDefault="001327A2" w:rsidP="001327A2">
      <w:pPr>
        <w:pStyle w:val="a7"/>
        <w:spacing w:after="0"/>
        <w:jc w:val="right"/>
        <w:rPr>
          <w:b/>
        </w:rPr>
      </w:pPr>
      <w:r w:rsidRPr="00FA0F45">
        <w:rPr>
          <w:b/>
        </w:rPr>
        <w:t xml:space="preserve">                                                                            Тростянецької міської ради                                                                            </w:t>
      </w:r>
    </w:p>
    <w:p w:rsidR="001327A2" w:rsidRPr="00FA0F45" w:rsidRDefault="001327A2" w:rsidP="001327A2">
      <w:pPr>
        <w:pStyle w:val="a7"/>
        <w:spacing w:after="0"/>
        <w:jc w:val="right"/>
        <w:rPr>
          <w:b/>
        </w:rPr>
      </w:pPr>
      <w:r w:rsidRPr="00FA0F45">
        <w:rPr>
          <w:b/>
        </w:rPr>
        <w:t xml:space="preserve">                                                                         </w:t>
      </w:r>
      <w:r w:rsidR="00486A30" w:rsidRPr="00FA0F45">
        <w:rPr>
          <w:b/>
        </w:rPr>
        <w:t>№</w:t>
      </w:r>
      <w:r w:rsidR="00486A30">
        <w:rPr>
          <w:b/>
        </w:rPr>
        <w:t xml:space="preserve"> </w:t>
      </w:r>
      <w:r w:rsidR="001A213A">
        <w:rPr>
          <w:b/>
        </w:rPr>
        <w:t xml:space="preserve">579 </w:t>
      </w:r>
      <w:r w:rsidRPr="00FA0F45">
        <w:rPr>
          <w:b/>
        </w:rPr>
        <w:t xml:space="preserve">від </w:t>
      </w:r>
      <w:r w:rsidR="00A82799">
        <w:rPr>
          <w:b/>
        </w:rPr>
        <w:t xml:space="preserve">10 </w:t>
      </w:r>
      <w:r>
        <w:rPr>
          <w:b/>
        </w:rPr>
        <w:t>червня</w:t>
      </w:r>
      <w:r w:rsidRPr="00FA0F45">
        <w:rPr>
          <w:b/>
        </w:rPr>
        <w:t xml:space="preserve"> 202</w:t>
      </w:r>
      <w:r>
        <w:rPr>
          <w:b/>
        </w:rPr>
        <w:t>6</w:t>
      </w:r>
      <w:r w:rsidRPr="00FA0F45">
        <w:rPr>
          <w:b/>
        </w:rPr>
        <w:t xml:space="preserve"> року </w:t>
      </w:r>
    </w:p>
    <w:p w:rsidR="003658EC" w:rsidRPr="00495D7B" w:rsidRDefault="003658EC">
      <w:pPr>
        <w:spacing w:line="360" w:lineRule="auto"/>
        <w:ind w:firstLine="720"/>
        <w:jc w:val="center"/>
        <w:rPr>
          <w:rFonts w:ascii="Times New Roman" w:eastAsia="Times New Roman" w:hAnsi="Times New Roman" w:cs="Times New Roman"/>
          <w:b/>
          <w:bCs/>
          <w:sz w:val="28"/>
          <w:szCs w:val="28"/>
          <w:lang w:val="uk-UA"/>
        </w:rPr>
      </w:pPr>
    </w:p>
    <w:p w:rsidR="003658EC" w:rsidRPr="00495D7B" w:rsidRDefault="003658EC">
      <w:pPr>
        <w:spacing w:line="360" w:lineRule="auto"/>
        <w:ind w:firstLine="720"/>
        <w:jc w:val="center"/>
        <w:rPr>
          <w:rFonts w:ascii="Times New Roman" w:eastAsia="Times New Roman" w:hAnsi="Times New Roman" w:cs="Times New Roman"/>
          <w:b/>
          <w:bCs/>
          <w:sz w:val="28"/>
          <w:szCs w:val="28"/>
          <w:lang w:val="uk-UA"/>
        </w:rPr>
      </w:pPr>
    </w:p>
    <w:p w:rsidR="003658EC" w:rsidRPr="00495D7B" w:rsidRDefault="003658EC">
      <w:pPr>
        <w:spacing w:line="360" w:lineRule="auto"/>
        <w:ind w:firstLine="720"/>
        <w:jc w:val="center"/>
        <w:rPr>
          <w:rFonts w:ascii="Times New Roman" w:eastAsia="Times New Roman" w:hAnsi="Times New Roman" w:cs="Times New Roman"/>
          <w:b/>
          <w:bCs/>
          <w:sz w:val="28"/>
          <w:szCs w:val="28"/>
          <w:lang w:val="uk-UA"/>
        </w:rPr>
      </w:pPr>
    </w:p>
    <w:p w:rsidR="003658EC" w:rsidRPr="00495D7B" w:rsidRDefault="003658EC">
      <w:pPr>
        <w:spacing w:line="360" w:lineRule="auto"/>
        <w:ind w:firstLine="720"/>
        <w:jc w:val="center"/>
        <w:rPr>
          <w:rFonts w:ascii="Times New Roman" w:eastAsia="Times New Roman" w:hAnsi="Times New Roman" w:cs="Times New Roman"/>
          <w:b/>
          <w:bCs/>
          <w:sz w:val="28"/>
          <w:szCs w:val="28"/>
          <w:lang w:val="uk-UA"/>
        </w:rPr>
      </w:pPr>
    </w:p>
    <w:p w:rsidR="003658EC" w:rsidRPr="00495D7B" w:rsidRDefault="003658EC">
      <w:pPr>
        <w:spacing w:line="360" w:lineRule="auto"/>
        <w:ind w:firstLine="720"/>
        <w:jc w:val="center"/>
        <w:rPr>
          <w:rFonts w:ascii="Times New Roman" w:eastAsia="Times New Roman" w:hAnsi="Times New Roman" w:cs="Times New Roman"/>
          <w:b/>
          <w:bCs/>
          <w:sz w:val="28"/>
          <w:szCs w:val="28"/>
          <w:lang w:val="uk-UA"/>
        </w:rPr>
      </w:pPr>
    </w:p>
    <w:p w:rsidR="00A82799" w:rsidRPr="001845BF" w:rsidRDefault="00A82799">
      <w:pPr>
        <w:spacing w:line="360" w:lineRule="auto"/>
        <w:ind w:firstLine="720"/>
        <w:jc w:val="center"/>
        <w:rPr>
          <w:rFonts w:ascii="Times New Roman" w:eastAsia="Times New Roman" w:hAnsi="Times New Roman" w:cs="Times New Roman"/>
          <w:b/>
          <w:bCs/>
          <w:sz w:val="28"/>
          <w:szCs w:val="28"/>
          <w:lang w:val="uk-UA"/>
        </w:rPr>
      </w:pPr>
    </w:p>
    <w:p w:rsidR="00A82799" w:rsidRPr="001845BF" w:rsidRDefault="00A82799">
      <w:pPr>
        <w:spacing w:line="360" w:lineRule="auto"/>
        <w:ind w:firstLine="720"/>
        <w:jc w:val="center"/>
        <w:rPr>
          <w:rFonts w:ascii="Times New Roman" w:eastAsia="Times New Roman" w:hAnsi="Times New Roman" w:cs="Times New Roman"/>
          <w:b/>
          <w:bCs/>
          <w:sz w:val="28"/>
          <w:szCs w:val="28"/>
          <w:lang w:val="uk-UA"/>
        </w:rPr>
      </w:pPr>
    </w:p>
    <w:p w:rsidR="00A82799" w:rsidRPr="001845BF" w:rsidRDefault="00A82799">
      <w:pPr>
        <w:spacing w:line="360" w:lineRule="auto"/>
        <w:ind w:firstLine="720"/>
        <w:jc w:val="center"/>
        <w:rPr>
          <w:rFonts w:ascii="Times New Roman" w:eastAsia="Times New Roman" w:hAnsi="Times New Roman" w:cs="Times New Roman"/>
          <w:b/>
          <w:bCs/>
          <w:sz w:val="28"/>
          <w:szCs w:val="28"/>
          <w:lang w:val="uk-UA"/>
        </w:rPr>
      </w:pPr>
    </w:p>
    <w:p w:rsidR="00A82799" w:rsidRPr="001845BF" w:rsidRDefault="00A82799">
      <w:pPr>
        <w:spacing w:line="360" w:lineRule="auto"/>
        <w:ind w:firstLine="720"/>
        <w:jc w:val="center"/>
        <w:rPr>
          <w:rFonts w:ascii="Times New Roman" w:eastAsia="Times New Roman" w:hAnsi="Times New Roman" w:cs="Times New Roman"/>
          <w:b/>
          <w:bCs/>
          <w:sz w:val="28"/>
          <w:szCs w:val="28"/>
          <w:lang w:val="uk-UA"/>
        </w:rPr>
      </w:pPr>
    </w:p>
    <w:p w:rsidR="00A82799" w:rsidRPr="001845BF" w:rsidRDefault="00A82799">
      <w:pPr>
        <w:spacing w:line="360" w:lineRule="auto"/>
        <w:ind w:firstLine="720"/>
        <w:jc w:val="center"/>
        <w:rPr>
          <w:rFonts w:ascii="Times New Roman" w:eastAsia="Times New Roman" w:hAnsi="Times New Roman" w:cs="Times New Roman"/>
          <w:b/>
          <w:bCs/>
          <w:sz w:val="28"/>
          <w:szCs w:val="28"/>
          <w:lang w:val="uk-UA"/>
        </w:rPr>
      </w:pPr>
    </w:p>
    <w:p w:rsidR="00A82799" w:rsidRPr="00A82799" w:rsidRDefault="00B97F83" w:rsidP="00A82799">
      <w:pPr>
        <w:spacing w:line="360" w:lineRule="auto"/>
        <w:ind w:firstLine="720"/>
        <w:rPr>
          <w:rFonts w:ascii="Times New Roman" w:eastAsia="Times New Roman" w:hAnsi="Times New Roman" w:cs="Times New Roman"/>
          <w:b/>
          <w:bCs/>
          <w:sz w:val="40"/>
          <w:szCs w:val="40"/>
        </w:rPr>
      </w:pPr>
      <w:r>
        <w:rPr>
          <w:rFonts w:ascii="Times New Roman" w:eastAsia="Times New Roman" w:hAnsi="Times New Roman" w:cs="Times New Roman"/>
          <w:b/>
          <w:bCs/>
          <w:sz w:val="40"/>
          <w:szCs w:val="40"/>
          <w:lang w:val="uk-UA"/>
        </w:rPr>
        <w:t xml:space="preserve">            </w:t>
      </w:r>
      <w:r w:rsidR="00A82799">
        <w:rPr>
          <w:rFonts w:ascii="Times New Roman" w:eastAsia="Times New Roman" w:hAnsi="Times New Roman" w:cs="Times New Roman"/>
          <w:b/>
          <w:bCs/>
          <w:sz w:val="40"/>
          <w:szCs w:val="40"/>
          <w:lang w:val="uk-UA"/>
        </w:rPr>
        <w:t xml:space="preserve">  </w:t>
      </w:r>
      <w:r w:rsidR="00A82799" w:rsidRPr="00A82799">
        <w:rPr>
          <w:rFonts w:ascii="Times New Roman" w:eastAsia="Times New Roman" w:hAnsi="Times New Roman" w:cs="Times New Roman"/>
          <w:b/>
          <w:bCs/>
          <w:sz w:val="40"/>
          <w:szCs w:val="40"/>
        </w:rPr>
        <w:t>МОЛОДІЖНА СТРАТЕГІЯ</w:t>
      </w:r>
    </w:p>
    <w:p w:rsidR="00486A30" w:rsidRDefault="00B97F83" w:rsidP="00B97F83">
      <w:pPr>
        <w:pStyle w:val="21"/>
        <w:shd w:val="clear" w:color="auto" w:fill="auto"/>
        <w:spacing w:line="240" w:lineRule="auto"/>
        <w:ind w:right="20"/>
      </w:pPr>
      <w:r>
        <w:rPr>
          <w:rFonts w:ascii="Times New Roman" w:eastAsia="Times New Roman" w:hAnsi="Times New Roman" w:cs="Times New Roman"/>
          <w:b/>
          <w:bCs/>
          <w:sz w:val="40"/>
          <w:szCs w:val="40"/>
          <w:lang w:val="uk-UA"/>
        </w:rPr>
        <w:t xml:space="preserve">        </w:t>
      </w:r>
      <w:r w:rsidR="00A82799">
        <w:rPr>
          <w:rFonts w:ascii="Times New Roman" w:eastAsia="Times New Roman" w:hAnsi="Times New Roman" w:cs="Times New Roman"/>
          <w:b/>
          <w:bCs/>
          <w:sz w:val="40"/>
          <w:szCs w:val="40"/>
          <w:lang w:val="uk-UA"/>
        </w:rPr>
        <w:t xml:space="preserve">        </w:t>
      </w:r>
      <w:r w:rsidR="00A82799" w:rsidRPr="00A82799">
        <w:rPr>
          <w:rFonts w:ascii="Times New Roman" w:eastAsia="Times New Roman" w:hAnsi="Times New Roman" w:cs="Times New Roman"/>
          <w:b/>
          <w:bCs/>
          <w:sz w:val="40"/>
          <w:szCs w:val="40"/>
        </w:rPr>
        <w:t>м. ТРОСТЯНЕЦЬ ДО 2035 РОКУ</w:t>
      </w:r>
      <w:r w:rsidR="00A82799">
        <w:t xml:space="preserve"> </w:t>
      </w: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Default="00486A30" w:rsidP="00486A30">
      <w:pPr>
        <w:pStyle w:val="21"/>
        <w:shd w:val="clear" w:color="auto" w:fill="auto"/>
        <w:spacing w:line="240" w:lineRule="auto"/>
        <w:ind w:right="20"/>
        <w:jc w:val="center"/>
      </w:pPr>
    </w:p>
    <w:p w:rsidR="00486A30" w:rsidRPr="00E96E97" w:rsidRDefault="00486A30" w:rsidP="00486A30">
      <w:pPr>
        <w:pStyle w:val="21"/>
        <w:shd w:val="clear" w:color="auto" w:fill="auto"/>
        <w:spacing w:line="240" w:lineRule="auto"/>
        <w:ind w:right="20"/>
        <w:rPr>
          <w:rStyle w:val="214"/>
          <w:rFonts w:ascii="Times New Roman" w:hAnsi="Times New Roman" w:cs="Times New Roman"/>
          <w:b/>
          <w:color w:val="000000" w:themeColor="text1"/>
          <w:sz w:val="28"/>
          <w:szCs w:val="28"/>
          <w:lang w:eastAsia="uk-UA"/>
        </w:rPr>
      </w:pPr>
      <w:r>
        <w:rPr>
          <w:rStyle w:val="214"/>
          <w:rFonts w:ascii="Times New Roman" w:hAnsi="Times New Roman" w:cs="Times New Roman"/>
          <w:b/>
          <w:color w:val="000000" w:themeColor="text1"/>
          <w:sz w:val="28"/>
          <w:szCs w:val="28"/>
          <w:lang w:val="uk-UA" w:eastAsia="uk-UA"/>
        </w:rPr>
        <w:t xml:space="preserve">                                                      </w:t>
      </w:r>
      <w:r w:rsidRPr="00E96E97">
        <w:rPr>
          <w:rStyle w:val="214"/>
          <w:rFonts w:ascii="Times New Roman" w:hAnsi="Times New Roman" w:cs="Times New Roman"/>
          <w:b/>
          <w:color w:val="000000" w:themeColor="text1"/>
          <w:sz w:val="28"/>
          <w:szCs w:val="28"/>
          <w:lang w:eastAsia="uk-UA"/>
        </w:rPr>
        <w:t>м. Тростянець</w:t>
      </w:r>
    </w:p>
    <w:p w:rsidR="00486A30" w:rsidRPr="00E96E97" w:rsidRDefault="00486A30" w:rsidP="00486A30">
      <w:pPr>
        <w:pStyle w:val="21"/>
        <w:shd w:val="clear" w:color="auto" w:fill="auto"/>
        <w:spacing w:line="240" w:lineRule="auto"/>
        <w:ind w:right="20"/>
        <w:rPr>
          <w:rStyle w:val="214"/>
          <w:rFonts w:ascii="Times New Roman" w:hAnsi="Times New Roman" w:cs="Times New Roman"/>
          <w:b/>
          <w:color w:val="000000" w:themeColor="text1"/>
          <w:sz w:val="28"/>
          <w:szCs w:val="28"/>
          <w:lang w:eastAsia="uk-UA"/>
        </w:rPr>
      </w:pPr>
      <w:r>
        <w:rPr>
          <w:rStyle w:val="214"/>
          <w:rFonts w:ascii="Times New Roman" w:hAnsi="Times New Roman" w:cs="Times New Roman"/>
          <w:b/>
          <w:color w:val="000000" w:themeColor="text1"/>
          <w:sz w:val="28"/>
          <w:szCs w:val="28"/>
          <w:lang w:val="uk-UA" w:eastAsia="uk-UA"/>
        </w:rPr>
        <w:t xml:space="preserve">                                                            </w:t>
      </w:r>
      <w:r>
        <w:rPr>
          <w:rStyle w:val="214"/>
          <w:rFonts w:ascii="Times New Roman" w:hAnsi="Times New Roman" w:cs="Times New Roman"/>
          <w:b/>
          <w:color w:val="000000" w:themeColor="text1"/>
          <w:sz w:val="28"/>
          <w:szCs w:val="28"/>
          <w:lang w:eastAsia="uk-UA"/>
        </w:rPr>
        <w:t>2</w:t>
      </w:r>
      <w:r w:rsidRPr="00E96E97">
        <w:rPr>
          <w:rStyle w:val="214"/>
          <w:rFonts w:ascii="Times New Roman" w:hAnsi="Times New Roman" w:cs="Times New Roman"/>
          <w:b/>
          <w:color w:val="000000" w:themeColor="text1"/>
          <w:sz w:val="28"/>
          <w:szCs w:val="28"/>
          <w:lang w:eastAsia="uk-UA"/>
        </w:rPr>
        <w:t>026 рік</w:t>
      </w:r>
    </w:p>
    <w:p w:rsidR="003658EC" w:rsidRDefault="009D4FF0" w:rsidP="00A82799">
      <w:pPr>
        <w:spacing w:line="360" w:lineRule="auto"/>
        <w:ind w:firstLine="720"/>
        <w:rPr>
          <w:rFonts w:ascii="Times New Roman" w:eastAsia="Times New Roman" w:hAnsi="Times New Roman" w:cs="Times New Roman"/>
          <w:b/>
          <w:bCs/>
          <w:color w:val="FF0000"/>
          <w:sz w:val="28"/>
          <w:szCs w:val="28"/>
        </w:rPr>
      </w:pPr>
      <w:r>
        <w:br w:type="page"/>
      </w:r>
    </w:p>
    <w:p w:rsidR="003658EC" w:rsidRDefault="009D4FF0">
      <w:pPr>
        <w:spacing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 xml:space="preserve">МЕТОДОЛОГІЯ РОЗРОБКИ СТРАТЕГІЇ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роботі над Стратегією ключовим принципом було спрямування на формування “покоління стійкості”, що свідомо будує майбутнє України, адаптується до викликів та має можливості для самореалізації в усіх сферах життя. Відкритість і активна партисипація стали основними цінностями команди під час розробки Стратегії: її розроблено для молоді, з молоддю і вона повинна реалізуватись за участі молоді.</w:t>
      </w: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ПРОЦЕС РОЗРОБКИ СТРАТЕГІЇ ВКЛЮЧАВ: </w:t>
      </w:r>
    </w:p>
    <w:p w:rsidR="003658EC" w:rsidRDefault="009D4FF0">
      <w:pPr>
        <w:numPr>
          <w:ilvl w:val="0"/>
          <w:numId w:val="17"/>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Публічну зустріч з молоддю ідеатон “Молодіжні рішення для громади”</w:t>
      </w:r>
    </w:p>
    <w:p w:rsidR="003658EC" w:rsidRDefault="009D4FF0">
      <w:pPr>
        <w:numPr>
          <w:ilvl w:val="0"/>
          <w:numId w:val="17"/>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Фасилітація 4 тематичних фокус-груп</w:t>
      </w:r>
    </w:p>
    <w:p w:rsidR="003658EC" w:rsidRDefault="009D4FF0">
      <w:pPr>
        <w:numPr>
          <w:ilvl w:val="0"/>
          <w:numId w:val="17"/>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Проведення соціологічного дослідження: “Опитування молоді Тростянецької громади щодо розвитку молодіжної політики”</w:t>
      </w:r>
    </w:p>
    <w:p w:rsidR="003658EC" w:rsidRDefault="009D4FF0">
      <w:pPr>
        <w:numPr>
          <w:ilvl w:val="0"/>
          <w:numId w:val="17"/>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Дослідження досвіду інших міст України, національної молодіжної стратегії.</w:t>
      </w:r>
    </w:p>
    <w:p w:rsidR="003658EC" w:rsidRDefault="009D4FF0">
      <w:pPr>
        <w:numPr>
          <w:ilvl w:val="0"/>
          <w:numId w:val="17"/>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Публічну презентацію драфту Стратегії та обговорення з громадськістю.</w:t>
      </w: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ПУБЛІЧНІ ЗУСТРІЧІ СТРАТЕГІЧНОГО ПЛАНУВАННЯ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Першим заходом стратегічного планування став ідеатон “Молодіжні рішення для громади”. Молодь напрацювала пілотні думки щодо пріоритетів Молодіжної стратегії, з якими продовжилась робота у 4 тематичних фокус-групах.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Молодь визначила такі пріоритетні напрямки:</w:t>
      </w:r>
      <w:r>
        <w:rPr>
          <w:rFonts w:ascii="Times New Roman" w:eastAsia="Times New Roman" w:hAnsi="Times New Roman" w:cs="Times New Roman"/>
          <w:i/>
          <w:iCs/>
          <w:sz w:val="28"/>
          <w:szCs w:val="28"/>
        </w:rPr>
        <w:t xml:space="preserve"> спорт, кар’єра, підприємництво, безпека, інфраструктура, довкілля та екологія</w:t>
      </w:r>
      <w:r>
        <w:rPr>
          <w:rFonts w:ascii="Times New Roman" w:eastAsia="Times New Roman" w:hAnsi="Times New Roman" w:cs="Times New Roman"/>
          <w:sz w:val="28"/>
          <w:szCs w:val="28"/>
        </w:rPr>
        <w:t xml:space="preserve">. По визначених пріоритетах з відкритою можливістю участі проводились фокус-групи, під час яких аналізувались проблеми і генерувались ідеї проєктів. До фокус-груп та ідеатону долучилася учнівська та студентська молодь, молоді спортсмени, працівники та волонтери МЦ “КОРОБКА”, представники Дитячої Дорадчої ради при Тростянецькому міському голові, молодь зі старостатів Тростянецької громади, молоді спеціалісти та громадські активісти, представники профільних відділів Тростянецької міської ради. </w:t>
      </w:r>
    </w:p>
    <w:p w:rsidR="003658EC" w:rsidRDefault="001845BF">
      <w:pPr>
        <w:spacing w:line="360" w:lineRule="auto"/>
        <w:ind w:firstLine="720"/>
        <w:jc w:val="both"/>
        <w:rPr>
          <w:rFonts w:ascii="Times New Roman" w:eastAsia="Times New Roman" w:hAnsi="Times New Roman" w:cs="Times New Roman"/>
          <w:b/>
          <w:bCs/>
          <w:sz w:val="28"/>
          <w:szCs w:val="28"/>
        </w:rPr>
      </w:pPr>
      <w:bookmarkStart w:id="0" w:name="_GoBack"/>
      <w:bookmarkEnd w:id="0"/>
      <w:r>
        <w:rPr>
          <w:rFonts w:ascii="Times New Roman" w:eastAsia="Times New Roman" w:hAnsi="Times New Roman" w:cs="Times New Roman"/>
          <w:b/>
          <w:bCs/>
          <w:sz w:val="28"/>
          <w:szCs w:val="28"/>
          <w:lang w:val="uk-UA"/>
        </w:rPr>
        <w:t>П</w:t>
      </w:r>
      <w:r w:rsidR="009D4FF0">
        <w:rPr>
          <w:rFonts w:ascii="Times New Roman" w:eastAsia="Times New Roman" w:hAnsi="Times New Roman" w:cs="Times New Roman"/>
          <w:b/>
          <w:bCs/>
          <w:sz w:val="28"/>
          <w:szCs w:val="28"/>
        </w:rPr>
        <w:t xml:space="preserve">РОВЕДЕННЯ ДОСЛІДЖЕННЯ </w:t>
      </w:r>
    </w:p>
    <w:p w:rsidR="003658EC" w:rsidRDefault="009D4FF0">
      <w:pPr>
        <w:spacing w:line="360" w:lineRule="auto"/>
        <w:ind w:firstLine="720"/>
        <w:jc w:val="both"/>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У рамках</w:t>
      </w:r>
      <w:proofErr w:type="gramEnd"/>
      <w:r>
        <w:rPr>
          <w:rFonts w:ascii="Times New Roman" w:eastAsia="Times New Roman" w:hAnsi="Times New Roman" w:cs="Times New Roman"/>
          <w:sz w:val="28"/>
          <w:szCs w:val="28"/>
        </w:rPr>
        <w:t xml:space="preserve"> роботи над Молодіжною стратегією було проведене онлайн дослідження, яке показало, чим живе та про що думає місцева молодь.</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Метою дослідження молоді Тростянецької громади стало визначення профілю молоді за низкою параметрів, серед яких: соціально-демографічні характеристики; освітні та професійні орієнтації; зайнятість та дозвіллєві практики; громадська активність та довкілля; проблеми та потреби молоді; бачення розвитку громади. </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Результати опитування демонструють високу зацікавленість молоді у розвитку Тростянецької громади, про що свідчить загальна кількість респондентів та їхня активність. Найбільш активною категорією стали підлітки та юнацтво. Основну групу респондентів становить молодь віком 14-17 років (близько 68% від загальної кількості опитаних). Значну частку також складає категорія **18-24 років (**приблизно 18%), що підкреслює орієнтацію молодіжної політики на шкільну та студентську аудиторію. Представники вікової групи 25-35 років складають близько 14% вибірки.</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У гендерному розрізі спостерігається суттєве переважання жіночої аудиторії (близько 72%). Це вказує на вищий рівень соціальної залученості дівчат та молодих жінок до публічних обговорень у громаді. Учасники представляють широку географію громади, проте більшість (близько 82%) – </w:t>
      </w:r>
      <w:proofErr w:type="gramStart"/>
      <w:r>
        <w:rPr>
          <w:rFonts w:ascii="Times New Roman" w:eastAsia="Times New Roman" w:hAnsi="Times New Roman" w:cs="Times New Roman"/>
          <w:sz w:val="28"/>
          <w:szCs w:val="28"/>
        </w:rPr>
        <w:t>це  мешканці</w:t>
      </w:r>
      <w:proofErr w:type="gramEnd"/>
      <w:r>
        <w:rPr>
          <w:rFonts w:ascii="Times New Roman" w:eastAsia="Times New Roman" w:hAnsi="Times New Roman" w:cs="Times New Roman"/>
          <w:sz w:val="28"/>
          <w:szCs w:val="28"/>
        </w:rPr>
        <w:t xml:space="preserve"> м. Тростянець. Серед міських районів найактивнішими були представники “Центру”, “Абіссінії”, “Цукрозаводу”, р-ну “Док”, “Гаю” та “Перекалок”. Сільська молодь складає близько 18% і представлена мешканцями с.Люджа, Білка, Кам’янка, Поляне, Семереньки та Олексине.</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Рівень освіти респондентів безпосередньо корелює з їхнім віком: переважна більшість (близько 78%) на момент опитування здобувають неповну або повну середню освіту (учні ліцеїв та шкіл). Решта 22% – це е молодь з вищою освітою (бакалаври, магістри) та молоді фахівці.</w:t>
      </w:r>
      <w:r>
        <w:rPr>
          <w:rFonts w:ascii="Times New Roman" w:eastAsia="Times New Roman" w:hAnsi="Times New Roman" w:cs="Times New Roman"/>
          <w:sz w:val="28"/>
          <w:szCs w:val="28"/>
        </w:rPr>
        <w:br/>
      </w:r>
      <w:r>
        <w:rPr>
          <w:rFonts w:ascii="Times New Roman" w:eastAsia="Times New Roman" w:hAnsi="Times New Roman" w:cs="Times New Roman"/>
          <w:sz w:val="28"/>
          <w:szCs w:val="28"/>
        </w:rPr>
        <w:tab/>
        <w:t>Аналіз внутрішнього стану та освітніх потреб молоді виявив пряму залежність між рівнем задоволеності зовнішніми умовами та загальним психологічним самопочуттям респондентів. Рівень задоволеності умовами для навчання в громаді має помірний характер. Лише 24% опитаних повністю задоволені освітньою інфраструктурою. Значна частина молоді (46%) оцінює умови як «середні», що вказує на запит щодо модернізації технічної бази шкіл та впровадження новітніх методик викладання. Решта 30% висловлюють незадоволеність через брак сучасних лабораторій та можливостей для неформальної освіти.</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Питання ментального здоров’я є одним із найбільш критичних. Результати свідчать про високий рівень психологічного навантаження: 58% респондентів зазначили, що часто відчувають стрес, тривожність та хронічну втому. 27% опитаних оцінюють свій стан як “мінливий”, і лише 15% молоді відчувають себе впевнено. Основними чинниками стресу є безпекова ситуація та невизначеність майбутнього.</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Серед пріоритетних сфер інтересів молодь чітко визначає вектори, у яких хоче розвиватися. Найвищий рейтинг мають освіта та саморозвиток (62%), що підтверджує високу вмотивованість до здобуття знань. На другому місці за важливістю – спорт (48%), на третьому – культура та мистецтво (42%). Також спостерігається зростання інтересу до екології та захисту довкілля (35%), що свідчить про формування свідомої громадянської позиції.</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Аналіз середовища життєдіяльності молоді Тростянецької громади вказує на суттєвий розрив між наявними можливостями дозвілля та реальними запитами юнацтва, а також на інфраструктурну нерівність між центром міста та його околицями й старостатами.</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Більшість молодих людей проводять своє дозвілля пасивно або в цифровому просторі. 65% респондентів зазначили, що проводять вільний час вдома або в інтернеті. Водночас потужним рекреаційним магнітом залишається природа: 28% опитаних надають перевагу прогулянкам на свіжому повітрі, де ключовою локацією є урочище Нескучне. Лише 7% молоді залучені до організованих гуртків чи секцій, що свідчить про брак цікавих сучасних форматів активного відпочинку.</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Територіальна диспропорція є головною скаргою молоді. 74% учасників опитування акцентують увагу на відсутності молодіжних просторів у віддалених мікрорайонах, зазначаючи, що всі активності зосереджені виключно в центрі. </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Серед найгостріших побутових проблем: 52% респондентів скаржаться на незадовільне вуличне освітлення (найкритичніша ситуація зафіксована в районах “Доку” та “Цукрозаводу”). 48% вказують на поганий стан доріг, що з’єднують села з містом, а 45% наголошують на гострому браку велодоріжок та безпечних пішохідних зон </w:t>
      </w:r>
      <w:proofErr w:type="gramStart"/>
      <w:r>
        <w:rPr>
          <w:rFonts w:ascii="Times New Roman" w:eastAsia="Times New Roman" w:hAnsi="Times New Roman" w:cs="Times New Roman"/>
          <w:sz w:val="28"/>
          <w:szCs w:val="28"/>
        </w:rPr>
        <w:t>у межах</w:t>
      </w:r>
      <w:proofErr w:type="gramEnd"/>
      <w:r>
        <w:rPr>
          <w:rFonts w:ascii="Times New Roman" w:eastAsia="Times New Roman" w:hAnsi="Times New Roman" w:cs="Times New Roman"/>
          <w:sz w:val="28"/>
          <w:szCs w:val="28"/>
        </w:rPr>
        <w:t xml:space="preserve"> міста.</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Попри інфраструктурні труднощі, молодь демонструє готовність до навчання та соціалізації в нових форматах. Пріоритетними об’єктами, яких не вистачає в громаді, респонденти назвали сучасні молодіжні хаби та коворкінги (58%) –  місця для вільного спілкування та роботи. В 42% є запит на практичні знання поза школою </w:t>
      </w:r>
      <w:proofErr w:type="gramStart"/>
      <w:r>
        <w:rPr>
          <w:rFonts w:ascii="Times New Roman" w:eastAsia="Times New Roman" w:hAnsi="Times New Roman" w:cs="Times New Roman"/>
          <w:sz w:val="28"/>
          <w:szCs w:val="28"/>
        </w:rPr>
        <w:t>у форматах</w:t>
      </w:r>
      <w:proofErr w:type="gramEnd"/>
      <w:r>
        <w:rPr>
          <w:rFonts w:ascii="Times New Roman" w:eastAsia="Times New Roman" w:hAnsi="Times New Roman" w:cs="Times New Roman"/>
          <w:sz w:val="28"/>
          <w:szCs w:val="28"/>
        </w:rPr>
        <w:t xml:space="preserve"> неформальної освіти та коучингових зустрічей, спортивні центри та майданчики з сучасним обладнанням важливі для 38% опитаних, 25% хотіли б бачити осучаснені бібліотеки з медіазонами та доступом до технологій. Питання економічної самостійності та кар’єрного старту є одним із найгостріших для молоді громади. Результати свідчать про те, що саме відсутність перспектив працевлаштування є основним фактором, який змушує молодь розглядати можливість переїзду.</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Переважна більшість молоді незадоволена наявними можливостями </w:t>
      </w:r>
      <w:proofErr w:type="gramStart"/>
      <w:r>
        <w:rPr>
          <w:rFonts w:ascii="Times New Roman" w:eastAsia="Times New Roman" w:hAnsi="Times New Roman" w:cs="Times New Roman"/>
          <w:sz w:val="28"/>
          <w:szCs w:val="28"/>
        </w:rPr>
        <w:t>на ринку</w:t>
      </w:r>
      <w:proofErr w:type="gramEnd"/>
      <w:r>
        <w:rPr>
          <w:rFonts w:ascii="Times New Roman" w:eastAsia="Times New Roman" w:hAnsi="Times New Roman" w:cs="Times New Roman"/>
          <w:sz w:val="28"/>
          <w:szCs w:val="28"/>
        </w:rPr>
        <w:t xml:space="preserve"> праці. Лише 12% респондентів вважають умови для пошуку роботи прийнятними. 64% опитаних прямо заявляють про незадоволеність через брак вакансій для початківців, відсутність програм стажування та низьку пропозицію в сфері бізнес-ініціатив. Молодь виявляє високий рівень прагматизму. 72% респондентів вказують на гостру потребу в робочих місцях з гідною заробітною платою. Окремим блоком виділяється запит на легальні можливості підробітку для підлітків (16+ років) під час канікул (45%).  </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Респонденти бачать потенціал громади у розвитку сучасного агросектору та екологічного виробництва. Серед найпопулярніших пропозицій щодо створення нових вакансій є розвиток фермерських господарств та тепличних комплексів (38%), створення підприємств із перероблення відходів та сталого виробництва (29%), програми підтримки молодіжного підприємництва та коворкінги для фрілансерів (24%).</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Рівень соціальної залученості молоді вказує на існування інформаційного та мотиваційного розриву між громадськими інституціями та кінцевим споживачем послуг. Хоча рівень поінформованості про МЦ “КОРОБКА” чи Дитячу Дорадчу раду є відносно високим (68% чули про ці структури), реальна активна участь залишається низькою. Лише 14% опитаних активно долучаються до заходів. Основні причини пасивності: брак вільного часу (42%) та відсутність чіткої та цікавої інформації (36%) про те, як саме можна долучитися.</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Безпекова ситуація є фундаментом для планування майбутнього в громаді. 81% респондентів назвали наявність та якість укриттів у навчальних закладах та громадських місцях ключовим фактором спокою. Стан укриттів безпосередньо корелює з бажанням залишатися в громаді: молодь, яка відчуває себе в безпеці, на 40% частіше обирає Тростянець як місце для подальшого життя.</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Екологічні питання турбують молодь майже на рівні з інфраструктурними. 54% респондентів висловили занепокоєння проблемою сміття в парках та зонах відпочинку. Існує високий запит на встановлення контейнерів для сортування сміття та проведення регулярних екоакцій із залученням молоді.</w:t>
      </w:r>
    </w:p>
    <w:p w:rsidR="003658EC" w:rsidRDefault="009D4FF0">
      <w:pPr>
        <w:widowControl w:val="0"/>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Опитування показало, що молодь Тростянецької громади є активною, але дещо розчарованою наявним станом економічних та інфраструктурних можливостей. Ключовий виклик для молоді громади сьогодні – трансформувати запит на безпеку та роботу в конкретні проєкти: від будівництва сучасних укриттів-хабів до стимулювання створення робочих місць для різного віку та досвіду роботи. Розв'язання проблем освітлення у віддалених районах, відновлення зелених рекреаційних зон та створення локальних точок дозвілля (мікрохабів) дозволить відчутно змінити настрої молоді на користь рідної громади.</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ДОСЛІДЖЕННЯ ДОСВІДУ ІНШИХ МІСТ УКРАЇНИ, НАЦІОНАЛЬНОЇ ТА ЄВРОПЕЙСЬКИХ МОЛОДІЖНИХ СТРАТЕГІЙ</w:t>
      </w:r>
      <w:r>
        <w:rPr>
          <w:rFonts w:ascii="Times New Roman" w:eastAsia="Times New Roman" w:hAnsi="Times New Roman" w:cs="Times New Roman"/>
          <w:sz w:val="28"/>
          <w:szCs w:val="28"/>
        </w:rPr>
        <w:t xml:space="preserve">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 час роботи над Стратегією були проаналізовані національні та європейські документи, досвід міст, що мають молодіжні стратегії, серед яких міста Львів, Полтава, Запоріжжя, Миколаїв. Опрацьовані такі документи, як:</w:t>
      </w:r>
    </w:p>
    <w:p w:rsidR="003658EC" w:rsidRDefault="009D4FF0">
      <w:pPr>
        <w:spacing w:line="360" w:lineRule="auto"/>
        <w:ind w:firstLine="720"/>
        <w:jc w:val="both"/>
        <w:rPr>
          <w:rFonts w:ascii="Times New Roman" w:eastAsia="Times New Roman" w:hAnsi="Times New Roman" w:cs="Times New Roman"/>
          <w:color w:val="1155CC"/>
          <w:sz w:val="28"/>
          <w:szCs w:val="28"/>
          <w:u w:val="single"/>
        </w:rPr>
      </w:pPr>
      <w:r>
        <w:rPr>
          <w:rFonts w:ascii="Times New Roman" w:eastAsia="Times New Roman" w:hAnsi="Times New Roman" w:cs="Times New Roman"/>
          <w:i/>
          <w:iCs/>
          <w:sz w:val="28"/>
          <w:szCs w:val="28"/>
        </w:rPr>
        <w:t xml:space="preserve">Національна молодіжна стратегія України до 2030 року </w:t>
      </w:r>
      <w:r>
        <w:rPr>
          <w:rFonts w:ascii="Times New Roman" w:eastAsia="Times New Roman" w:hAnsi="Times New Roman" w:cs="Times New Roman"/>
          <w:sz w:val="28"/>
          <w:szCs w:val="28"/>
        </w:rPr>
        <w:t>– основні пріоритети: безпека (життєстійкість), здоров’я, спроможність (участь, самостійність, громадянські компетенції), інтегрованість (мобільність, соціальна/культурна інтеграція).</w:t>
      </w:r>
      <w:hyperlink r:id="rId5">
        <w:r>
          <w:rPr>
            <w:rFonts w:ascii="Times New Roman" w:eastAsia="Times New Roman" w:hAnsi="Times New Roman" w:cs="Times New Roman"/>
            <w:sz w:val="28"/>
            <w:szCs w:val="28"/>
          </w:rPr>
          <w:t xml:space="preserve"> </w:t>
        </w:r>
      </w:hyperlink>
      <w:hyperlink r:id="rId6">
        <w:r>
          <w:rPr>
            <w:rFonts w:ascii="Times New Roman" w:eastAsia="Times New Roman" w:hAnsi="Times New Roman" w:cs="Times New Roman"/>
            <w:color w:val="1155CC"/>
            <w:sz w:val="28"/>
            <w:szCs w:val="28"/>
            <w:u w:val="single"/>
          </w:rPr>
          <w:t xml:space="preserve"> </w:t>
        </w:r>
      </w:hyperlink>
      <w:r>
        <w:rPr>
          <w:rFonts w:ascii="Times New Roman" w:eastAsia="Times New Roman" w:hAnsi="Times New Roman" w:cs="Times New Roman"/>
          <w:color w:val="1155CC"/>
          <w:sz w:val="28"/>
          <w:szCs w:val="28"/>
          <w:u w:val="single"/>
        </w:rPr>
        <w:t xml:space="preserve"> </w:t>
      </w:r>
    </w:p>
    <w:p w:rsidR="003658EC" w:rsidRDefault="009D4FF0">
      <w:pPr>
        <w:spacing w:line="360" w:lineRule="auto"/>
        <w:ind w:firstLine="720"/>
        <w:jc w:val="both"/>
        <w:rPr>
          <w:rFonts w:ascii="Times New Roman" w:eastAsia="Times New Roman" w:hAnsi="Times New Roman" w:cs="Times New Roman"/>
          <w:color w:val="1155CC"/>
          <w:sz w:val="28"/>
          <w:szCs w:val="28"/>
          <w:u w:val="single"/>
        </w:rPr>
      </w:pPr>
      <w:r>
        <w:rPr>
          <w:rFonts w:ascii="Times New Roman" w:eastAsia="Times New Roman" w:hAnsi="Times New Roman" w:cs="Times New Roman"/>
          <w:i/>
          <w:iCs/>
          <w:sz w:val="28"/>
          <w:szCs w:val="28"/>
        </w:rPr>
        <w:t xml:space="preserve">Європейська молодіжна стратегія 2019-2027 </w:t>
      </w:r>
      <w:r>
        <w:rPr>
          <w:rFonts w:ascii="Times New Roman" w:eastAsia="Times New Roman" w:hAnsi="Times New Roman" w:cs="Times New Roman"/>
          <w:sz w:val="28"/>
          <w:szCs w:val="28"/>
        </w:rPr>
        <w:t>– рамка співпраці ЄС у молодіжній політиці з трьома темами: Engage, Connect, Empower; інтегрує «European Youth Goals».</w:t>
      </w:r>
      <w:hyperlink r:id="rId7">
        <w:r>
          <w:rPr>
            <w:rFonts w:ascii="Times New Roman" w:eastAsia="Times New Roman" w:hAnsi="Times New Roman" w:cs="Times New Roman"/>
            <w:sz w:val="28"/>
            <w:szCs w:val="28"/>
          </w:rPr>
          <w:t xml:space="preserve"> </w:t>
        </w:r>
      </w:hyperlink>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Молодіжна стратегія ООН «Молодь - 2030»</w:t>
      </w:r>
      <w:r>
        <w:rPr>
          <w:rFonts w:ascii="Times New Roman" w:eastAsia="Times New Roman" w:hAnsi="Times New Roman" w:cs="Times New Roman"/>
          <w:sz w:val="28"/>
          <w:szCs w:val="28"/>
        </w:rPr>
        <w:t xml:space="preserve"> – міжнародні стандарти участі молоді, прав людини й інклюзії у молодіжній політиці.</w:t>
      </w:r>
      <w:hyperlink r:id="rId8">
        <w:r>
          <w:rPr>
            <w:rFonts w:ascii="Times New Roman" w:eastAsia="Times New Roman" w:hAnsi="Times New Roman" w:cs="Times New Roman"/>
            <w:sz w:val="28"/>
            <w:szCs w:val="28"/>
          </w:rPr>
          <w:t xml:space="preserve"> </w:t>
        </w:r>
      </w:hyperlink>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ПУБЛІЧНА ПРЕЗЕНТАЦІЯ ДРАФТУ СТРАТЕГІЇ ТА ОБГОВОРЕННЯ З ГРОМАДСЬКІСТЮ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Драфт Молодіжної стратегії був публічно обговорений з молоддю в МЦ “КОРОБКА”. За результатами публічного обговорення з середовищем, а також зустрічей з депутатами та представниками виконавчих підрозділів Тростянецької міської ради був фіналізований документ Молостратегії.</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Успіх реалізації цієї Стратегії базується на міцному партнерстві та системній взаємодії між усіма зацікавленими сторонами.</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Головними учасниками цієї екосистеми є:</w:t>
      </w:r>
    </w:p>
    <w:p w:rsidR="003658EC" w:rsidRDefault="009D4FF0">
      <w:pPr>
        <w:widowControl w:val="0"/>
        <w:numPr>
          <w:ilvl w:val="0"/>
          <w:numId w:val="8"/>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молодь (учні, студенти, молоді спеціалісти, творча, спортивна спільноти та активісти);</w:t>
      </w:r>
    </w:p>
    <w:p w:rsidR="003658EC" w:rsidRDefault="009D4FF0">
      <w:pPr>
        <w:widowControl w:val="0"/>
        <w:numPr>
          <w:ilvl w:val="0"/>
          <w:numId w:val="8"/>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органи місцевого самоврядування та профільні підрозділи;</w:t>
      </w:r>
    </w:p>
    <w:p w:rsidR="003658EC" w:rsidRDefault="009D4FF0">
      <w:pPr>
        <w:widowControl w:val="0"/>
        <w:numPr>
          <w:ilvl w:val="0"/>
          <w:numId w:val="8"/>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громадський сектор (організації та волонтерські рухи);</w:t>
      </w:r>
    </w:p>
    <w:p w:rsidR="003658EC" w:rsidRDefault="009D4FF0">
      <w:pPr>
        <w:widowControl w:val="0"/>
        <w:numPr>
          <w:ilvl w:val="0"/>
          <w:numId w:val="8"/>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бізнес (насамперед креативний та соціально відповідальний);</w:t>
      </w:r>
    </w:p>
    <w:p w:rsidR="003658EC" w:rsidRDefault="009D4FF0">
      <w:pPr>
        <w:widowControl w:val="0"/>
        <w:numPr>
          <w:ilvl w:val="0"/>
          <w:numId w:val="8"/>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освітні заклади та молодіжний центр;</w:t>
      </w:r>
    </w:p>
    <w:p w:rsidR="003658EC" w:rsidRDefault="009D4FF0">
      <w:pPr>
        <w:widowControl w:val="0"/>
        <w:numPr>
          <w:ilvl w:val="0"/>
          <w:numId w:val="8"/>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спеціалізовані інституції (що працюють з людьми з інвалідністю, а також культурні та спортивні спільноти);</w:t>
      </w:r>
    </w:p>
    <w:p w:rsidR="003658EC" w:rsidRDefault="009D4FF0">
      <w:pPr>
        <w:widowControl w:val="0"/>
        <w:numPr>
          <w:ilvl w:val="0"/>
          <w:numId w:val="8"/>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міжнародні донори та партнери, які фінансово та експертно підтримують молодіжні ініціативи.</w:t>
      </w:r>
    </w:p>
    <w:p w:rsidR="003658EC" w:rsidRDefault="009D4FF0">
      <w:pPr>
        <w:widowControl w:val="0"/>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Саме співдія, довіра та спільне бачення цих середовищ є визначальними принципами, які забезпечують ефективність і досягнення цілей Стратегії.</w:t>
      </w:r>
      <w:r>
        <w:br w:type="page"/>
      </w:r>
    </w:p>
    <w:p w:rsidR="003658EC" w:rsidRDefault="009D4FF0">
      <w:pPr>
        <w:spacing w:line="360" w:lineRule="auto"/>
        <w:ind w:firstLine="720"/>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“ТРОСТЯНЕЦЬ 2035 - МІСТО СПОРТУ”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Тростянець – місто спортивних можливостей, що створює сучасну, інклюзивну інфраструктуру та забезпечує різноманітний вибір секцій для розвитку як професійного, так і непрофесійного спорту серед молоді.</w:t>
      </w: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Молодь бачить Тростянець СПОРТИВНИМ: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розвиток міської спортивної інфраструктури з відкритим доступом;</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підтримка спортсменів та тренерського складу;</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популяризація спорту серед молоді;</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модернізація спортзалів, посилення їх матеріально-технічної бази.</w:t>
      </w: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Молодь бачить спорт в Тростянці ІНКЛЮЗИВНИМ: </w:t>
      </w:r>
    </w:p>
    <w:p w:rsidR="003658EC" w:rsidRDefault="009D4FF0">
      <w:pPr>
        <w:spacing w:line="360" w:lineRule="auto"/>
        <w:ind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 розвиток інклюзивного спорту;</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створення доступних інклюзивних спортзалів;</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підтримка непрофесійних видів спорту.</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Молоді люди вболівають за покращення спортивної інфраструктури міста, включаючи завершення довгобудів, розвиток велоінфраструктури та модернізацію наявних спортзалів та спортивних майданчиків. Результатом посилення уваги до даного напрямку буде збільшення кількості молоді, залученої </w:t>
      </w:r>
      <w:proofErr w:type="gramStart"/>
      <w:r>
        <w:rPr>
          <w:rFonts w:ascii="Times New Roman" w:eastAsia="Times New Roman" w:hAnsi="Times New Roman" w:cs="Times New Roman"/>
          <w:sz w:val="28"/>
          <w:szCs w:val="28"/>
        </w:rPr>
        <w:t>до спорту</w:t>
      </w:r>
      <w:proofErr w:type="gramEnd"/>
      <w:r>
        <w:rPr>
          <w:rFonts w:ascii="Times New Roman" w:eastAsia="Times New Roman" w:hAnsi="Times New Roman" w:cs="Times New Roman"/>
          <w:sz w:val="28"/>
          <w:szCs w:val="28"/>
        </w:rPr>
        <w:t xml:space="preserve"> завдяки появі нових секцій та безбар’єрного простору. Також важлива фінансова підтримка талановитих спортсменів через іменні стипендії та покращення якості тренувань завдяки посиленню матеріально-технічної бази.</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Серед головних завдань у цих напрямках є наступні.</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СПОРТИВНИЙ ТРОСТЯНЕЦЬ</w:t>
      </w:r>
    </w:p>
    <w:p w:rsidR="003658EC" w:rsidRDefault="009D4FF0">
      <w:pPr>
        <w:numPr>
          <w:ilvl w:val="0"/>
          <w:numId w:val="15"/>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встановлення спортивних майданчиків по мікрорайонах міста;</w:t>
      </w:r>
      <w:r>
        <w:rPr>
          <w:rFonts w:ascii="Times New Roman" w:eastAsia="Times New Roman" w:hAnsi="Times New Roman" w:cs="Times New Roman"/>
          <w:color w:val="FF0000"/>
          <w:sz w:val="28"/>
          <w:szCs w:val="28"/>
        </w:rPr>
        <w:t xml:space="preserve"> </w:t>
      </w:r>
    </w:p>
    <w:p w:rsidR="003658EC" w:rsidRDefault="009D4FF0">
      <w:pPr>
        <w:numPr>
          <w:ilvl w:val="0"/>
          <w:numId w:val="15"/>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завершення будівництва спорткомплексу із басейном “H2O-maxi”;</w:t>
      </w:r>
    </w:p>
    <w:p w:rsidR="003658EC" w:rsidRDefault="009D4FF0">
      <w:pPr>
        <w:numPr>
          <w:ilvl w:val="0"/>
          <w:numId w:val="15"/>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розвиток велоінфраструктури у місті, розмітка для велодоріжок на дорогах;</w:t>
      </w:r>
    </w:p>
    <w:p w:rsidR="003658EC" w:rsidRDefault="009D4FF0">
      <w:pPr>
        <w:numPr>
          <w:ilvl w:val="0"/>
          <w:numId w:val="15"/>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модернізація (відновлення) наявних спортивних майданчиків;</w:t>
      </w:r>
    </w:p>
    <w:p w:rsidR="003658EC" w:rsidRDefault="009D4FF0">
      <w:pPr>
        <w:numPr>
          <w:ilvl w:val="0"/>
          <w:numId w:val="13"/>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затвердження іменних місцевих стипендій від громади переможцям та призерам на Чемпіонатах Європи та Чемпіонатах Світу;</w:t>
      </w:r>
    </w:p>
    <w:p w:rsidR="003658EC" w:rsidRDefault="009D4FF0">
      <w:pPr>
        <w:numPr>
          <w:ilvl w:val="0"/>
          <w:numId w:val="13"/>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збільшення місцевої фінансової підтримки командам, які їдуть на міжнародні змагання;</w:t>
      </w:r>
    </w:p>
    <w:p w:rsidR="003658EC" w:rsidRDefault="009D4FF0">
      <w:pPr>
        <w:numPr>
          <w:ilvl w:val="0"/>
          <w:numId w:val="13"/>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створення нових спортивних напрямків із залученням тренерів - великий теніс, настільний теніс, лижеролери тощо; </w:t>
      </w:r>
    </w:p>
    <w:p w:rsidR="003658EC" w:rsidRDefault="009D4FF0">
      <w:pPr>
        <w:numPr>
          <w:ilvl w:val="0"/>
          <w:numId w:val="13"/>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посилення матеріально-технічної бази спортзалів (встановлення тренажерів);</w:t>
      </w:r>
    </w:p>
    <w:p w:rsidR="003658EC" w:rsidRDefault="009D4FF0">
      <w:pPr>
        <w:numPr>
          <w:ilvl w:val="0"/>
          <w:numId w:val="13"/>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проведення інформаційної кампанії серед молоді про можливості розвитку у різних видах спорту у громаді;</w:t>
      </w:r>
    </w:p>
    <w:p w:rsidR="003658EC" w:rsidRDefault="009D4FF0">
      <w:pPr>
        <w:numPr>
          <w:ilvl w:val="0"/>
          <w:numId w:val="13"/>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інформаційного сайту/сторінки з новинами спорту та можливостями для непрофесійних спортсменів;</w:t>
      </w:r>
    </w:p>
    <w:p w:rsidR="003658EC" w:rsidRDefault="009D4FF0">
      <w:pPr>
        <w:numPr>
          <w:ilvl w:val="0"/>
          <w:numId w:val="13"/>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обладнанням </w:t>
      </w:r>
      <w:proofErr w:type="gramStart"/>
      <w:r>
        <w:rPr>
          <w:rFonts w:ascii="Times New Roman" w:eastAsia="Times New Roman" w:hAnsi="Times New Roman" w:cs="Times New Roman"/>
          <w:sz w:val="28"/>
          <w:szCs w:val="28"/>
        </w:rPr>
        <w:t>у парках</w:t>
      </w:r>
      <w:proofErr w:type="gramEnd"/>
      <w:r>
        <w:rPr>
          <w:rFonts w:ascii="Times New Roman" w:eastAsia="Times New Roman" w:hAnsi="Times New Roman" w:cs="Times New Roman"/>
          <w:sz w:val="28"/>
          <w:szCs w:val="28"/>
        </w:rPr>
        <w:t xml:space="preserve"> лазанок, місць для занять спортом та доріжок здоров’я;</w:t>
      </w:r>
    </w:p>
    <w:p w:rsidR="003658EC" w:rsidRDefault="009D4FF0">
      <w:pPr>
        <w:numPr>
          <w:ilvl w:val="0"/>
          <w:numId w:val="13"/>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створення urban-парку в Тростянці.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ІНКЛЮЗИВНИЙ ТРОСТЯНЕЦЬ</w:t>
      </w:r>
    </w:p>
    <w:p w:rsidR="003658EC" w:rsidRDefault="009D4FF0">
      <w:pPr>
        <w:numPr>
          <w:ilvl w:val="0"/>
          <w:numId w:val="1"/>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безбар’єрного спортивного простору;</w:t>
      </w:r>
    </w:p>
    <w:p w:rsidR="003658EC" w:rsidRDefault="009D4FF0">
      <w:pPr>
        <w:numPr>
          <w:ilvl w:val="0"/>
          <w:numId w:val="1"/>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кваліфіковані тренери або реабілітологи для молоді з інвалідністю;</w:t>
      </w:r>
    </w:p>
    <w:p w:rsidR="003658EC" w:rsidRDefault="009D4FF0">
      <w:pPr>
        <w:numPr>
          <w:ilvl w:val="0"/>
          <w:numId w:val="1"/>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збільшення кількості змагань з сучасних непрофесійних видів спорту (Sup-дошки, байдарки, шахи, пляжний волейбол, кіберспорт тощо);</w:t>
      </w:r>
    </w:p>
    <w:p w:rsidR="003658EC" w:rsidRDefault="009D4FF0">
      <w:pPr>
        <w:numPr>
          <w:ilvl w:val="0"/>
          <w:numId w:val="1"/>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нерухомість для оренди із заняття непрофесійних видів спорту (йога, фітнес, танці тощо);</w:t>
      </w:r>
    </w:p>
    <w:p w:rsidR="003658EC" w:rsidRDefault="009D4FF0">
      <w:pPr>
        <w:numPr>
          <w:ilvl w:val="0"/>
          <w:numId w:val="1"/>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підтримка неформальних спортивних спільнот для колективних занять спортом;</w:t>
      </w:r>
    </w:p>
    <w:p w:rsidR="003658EC" w:rsidRDefault="009D4FF0">
      <w:pPr>
        <w:numPr>
          <w:ilvl w:val="0"/>
          <w:numId w:val="1"/>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проведення змагання з вуличних видів спорту. </w:t>
      </w: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Очікувані результати до 2035 року:</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Реалізація спортивної стратегії дозволить сформувати у Тростянці культуру здорового та активного способу життя. Ми прагнемо, щоб до 2035 року кожен молодий мешканець громади мав доступ до сучасної інфраструктури, незалежно від рівня фізичної підготовки чи стану здоров’я.</w:t>
      </w:r>
    </w:p>
    <w:p w:rsidR="003658EC" w:rsidRDefault="009D4FF0">
      <w:pPr>
        <w:pStyle w:val="4"/>
        <w:keepNext w:val="0"/>
        <w:keepLines w:val="0"/>
        <w:spacing w:before="0" w:after="0" w:line="360" w:lineRule="auto"/>
        <w:ind w:firstLine="720"/>
        <w:jc w:val="both"/>
        <w:rPr>
          <w:rFonts w:ascii="Times New Roman" w:eastAsia="Times New Roman" w:hAnsi="Times New Roman" w:cs="Times New Roman"/>
          <w:color w:val="000000"/>
          <w:sz w:val="28"/>
          <w:szCs w:val="28"/>
        </w:rPr>
      </w:pPr>
      <w:bookmarkStart w:id="1" w:name="_4yf890ngdnvu" w:colFirst="0" w:colLast="0"/>
      <w:bookmarkEnd w:id="1"/>
      <w:r>
        <w:rPr>
          <w:rFonts w:ascii="Times New Roman" w:eastAsia="Times New Roman" w:hAnsi="Times New Roman" w:cs="Times New Roman"/>
          <w:b/>
          <w:bCs/>
          <w:color w:val="000000"/>
          <w:sz w:val="28"/>
          <w:szCs w:val="28"/>
        </w:rPr>
        <w:t xml:space="preserve">СПОРТ: </w:t>
      </w:r>
      <w:r>
        <w:rPr>
          <w:rFonts w:ascii="Times New Roman" w:eastAsia="Times New Roman" w:hAnsi="Times New Roman" w:cs="Times New Roman"/>
          <w:color w:val="000000"/>
          <w:sz w:val="28"/>
          <w:szCs w:val="28"/>
        </w:rPr>
        <w:t>створення умов для виховання чемпіонів та підтримки тренерського складу, перетворюючи Тростянець на майданчик для змагань Всеукраїнського рівня. Завершення будівництва та введення в експлуатацію спорткомплексу з басейном “H2O-maxi”, щорічна виплата іменних стипендій призерам світових та європейських першостей, відкриття нових секцій (великий теніс, лижеролери, настільний теніс тощо), забезпечення спортивних залів новим інвентарем та обладнанням. Ці дії підвищать престиж тренерської роботи в громаді, зросте зацікавлення молоді до професійного спорту та досягнення спортсменів на національному та міжнародному рівнях.</w:t>
      </w:r>
    </w:p>
    <w:p w:rsidR="003658EC" w:rsidRDefault="009D4FF0">
      <w:pPr>
        <w:pStyle w:val="4"/>
        <w:keepNext w:val="0"/>
        <w:keepLines w:val="0"/>
        <w:spacing w:before="0" w:after="0" w:line="360" w:lineRule="auto"/>
        <w:ind w:firstLine="720"/>
        <w:jc w:val="both"/>
        <w:rPr>
          <w:rFonts w:ascii="Times New Roman" w:eastAsia="Times New Roman" w:hAnsi="Times New Roman" w:cs="Times New Roman"/>
          <w:b/>
          <w:bCs/>
          <w:color w:val="000000"/>
          <w:sz w:val="28"/>
          <w:szCs w:val="28"/>
        </w:rPr>
      </w:pPr>
      <w:bookmarkStart w:id="2" w:name="_4upre25y9jnc" w:colFirst="0" w:colLast="0"/>
      <w:bookmarkEnd w:id="2"/>
      <w:r>
        <w:rPr>
          <w:rFonts w:ascii="Times New Roman" w:eastAsia="Times New Roman" w:hAnsi="Times New Roman" w:cs="Times New Roman"/>
          <w:b/>
          <w:bCs/>
          <w:color w:val="000000"/>
          <w:sz w:val="28"/>
          <w:szCs w:val="28"/>
        </w:rPr>
        <w:t xml:space="preserve">ІНКЛЮЗІЯ В СПОРТІ: </w:t>
      </w:r>
      <w:r>
        <w:rPr>
          <w:rFonts w:ascii="Times New Roman" w:eastAsia="Times New Roman" w:hAnsi="Times New Roman" w:cs="Times New Roman"/>
          <w:color w:val="000000"/>
          <w:sz w:val="28"/>
          <w:szCs w:val="28"/>
        </w:rPr>
        <w:t xml:space="preserve">впровадження стандартів безбар’єрності, щоб молодь з інвалідністю та ті, хто цікавиться непрофесійними видами спорту, могли повноцінно тренуватися та реалізовувати свій потенціал. Спортивні об’єкти громади облаштовані за стандартами безбар’єрності, </w:t>
      </w:r>
      <w:proofErr w:type="gramStart"/>
      <w:r>
        <w:rPr>
          <w:rFonts w:ascii="Times New Roman" w:eastAsia="Times New Roman" w:hAnsi="Times New Roman" w:cs="Times New Roman"/>
          <w:color w:val="000000"/>
          <w:sz w:val="28"/>
          <w:szCs w:val="28"/>
        </w:rPr>
        <w:t>до штату</w:t>
      </w:r>
      <w:proofErr w:type="gramEnd"/>
      <w:r>
        <w:rPr>
          <w:rFonts w:ascii="Times New Roman" w:eastAsia="Times New Roman" w:hAnsi="Times New Roman" w:cs="Times New Roman"/>
          <w:color w:val="000000"/>
          <w:sz w:val="28"/>
          <w:szCs w:val="28"/>
        </w:rPr>
        <w:t xml:space="preserve"> спортивних закладів залучено кваліфікованих реабілітологів та тренерів для роботи з людьми з інвалідністю, проводяться інклюзивні змагання.  Облаштована “доріжки здоров’я” </w:t>
      </w:r>
      <w:proofErr w:type="gramStart"/>
      <w:r>
        <w:rPr>
          <w:rFonts w:ascii="Times New Roman" w:eastAsia="Times New Roman" w:hAnsi="Times New Roman" w:cs="Times New Roman"/>
          <w:color w:val="000000"/>
          <w:sz w:val="28"/>
          <w:szCs w:val="28"/>
        </w:rPr>
        <w:t>у парку</w:t>
      </w:r>
      <w:proofErr w:type="gramEnd"/>
      <w:r>
        <w:rPr>
          <w:rFonts w:ascii="Times New Roman" w:eastAsia="Times New Roman" w:hAnsi="Times New Roman" w:cs="Times New Roman"/>
          <w:color w:val="000000"/>
          <w:sz w:val="28"/>
          <w:szCs w:val="28"/>
        </w:rPr>
        <w:t>.</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 місті популяризується активний відпочинок через розвиток велоінфраструктури, підтримку неформальних спільнот та проведення фестивалів вуличних видів спорту та кіберспорту, зростає кількість молоді, що займається спортом на непрофесійному рівні (SUP-дошки, кіберспорт, шахи, пляжний волейбол тощо). Створено єдиний інформаційний портал про спортивні можливості у місті.</w:t>
      </w:r>
    </w:p>
    <w:p w:rsidR="003658EC" w:rsidRDefault="009D4FF0">
      <w:pPr>
        <w:widowControl w:val="0"/>
        <w:spacing w:line="360" w:lineRule="auto"/>
        <w:ind w:firstLine="720"/>
        <w:jc w:val="both"/>
        <w:rPr>
          <w:rFonts w:ascii="Times New Roman" w:eastAsia="Times New Roman" w:hAnsi="Times New Roman" w:cs="Times New Roman"/>
          <w:sz w:val="28"/>
          <w:szCs w:val="28"/>
        </w:rPr>
      </w:pPr>
      <w:r>
        <w:br w:type="page"/>
      </w:r>
    </w:p>
    <w:p w:rsidR="003658EC" w:rsidRDefault="009D4FF0">
      <w:pPr>
        <w:spacing w:line="360" w:lineRule="auto"/>
        <w:ind w:firstLine="720"/>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“ТРОСТЯНЕЦЬ 2035 – ЧИСТА ГРОМАДА СВІДОМИХ ЛЮДЕЙ”</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Тростянець – екологічно свідома громада, де молодь є рушійною силою у збереженні природних ресурсів, сортуванні та переробленні відходів для забезпечення чистого довкілля та розвитку екотуризму.</w:t>
      </w: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Молодь бачить Тростянець ЗЕЛЕНИМ ТА ЧИСТИМ:</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управління відходами та перероблення сміття;</w:t>
      </w:r>
    </w:p>
    <w:p w:rsidR="003658EC" w:rsidRDefault="009D4FF0">
      <w:pPr>
        <w:spacing w:line="360" w:lineRule="auto"/>
        <w:ind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 захист природних ресурсів та озеленення;</w:t>
      </w:r>
    </w:p>
    <w:p w:rsidR="003658EC" w:rsidRDefault="009D4FF0">
      <w:pPr>
        <w:spacing w:line="360" w:lineRule="auto"/>
        <w:ind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 відновлення туристичних екологічних зон.</w:t>
      </w: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Молодь бачить Тростянець ЕКОЛОГІЧНО СВІДОМИМ:</w:t>
      </w:r>
    </w:p>
    <w:p w:rsidR="003658EC" w:rsidRDefault="009D4FF0">
      <w:pPr>
        <w:spacing w:line="360" w:lineRule="auto"/>
        <w:ind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 посилення екологічної свідомості та відповідальності;</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▪популяризація компостування та посилення міри відповідальності за спалювання листя/трави;</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боротьба з відходами, стихійними звалищами.</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Молодь вбачає великий потенціал громади у розвитку екотуризму </w:t>
      </w:r>
      <w:proofErr w:type="gramStart"/>
      <w:r>
        <w:rPr>
          <w:rFonts w:ascii="Times New Roman" w:eastAsia="Times New Roman" w:hAnsi="Times New Roman" w:cs="Times New Roman"/>
          <w:sz w:val="28"/>
          <w:szCs w:val="28"/>
        </w:rPr>
        <w:t>за умов</w:t>
      </w:r>
      <w:proofErr w:type="gramEnd"/>
      <w:r>
        <w:rPr>
          <w:rFonts w:ascii="Times New Roman" w:eastAsia="Times New Roman" w:hAnsi="Times New Roman" w:cs="Times New Roman"/>
          <w:sz w:val="28"/>
          <w:szCs w:val="28"/>
        </w:rPr>
        <w:t xml:space="preserve"> покращення стану “зелених маршрутів”, джерел, озелененні міста. Підвищення екологічної свідомості серед молоді вбачається у питаннях популяризації компостування, створенні системи раціонального поводження з відходами, включаючи будівництво заводу з перероблення сміття.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Серед головних завдань у цих напрямках є наступні.</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 ЕКОЛОГІЧНО СВІДОМИЙ ТРОСТЯНЕЦЬ</w:t>
      </w:r>
    </w:p>
    <w:p w:rsidR="003658EC" w:rsidRDefault="009D4FF0">
      <w:pPr>
        <w:numPr>
          <w:ilvl w:val="0"/>
          <w:numId w:val="7"/>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встановлення лінії сортування сміття на міському полігоні ТПВ;</w:t>
      </w:r>
    </w:p>
    <w:p w:rsidR="003658EC" w:rsidRDefault="009D4FF0">
      <w:pPr>
        <w:numPr>
          <w:ilvl w:val="0"/>
          <w:numId w:val="7"/>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встановлення баків для сортування в установах та екопросвіта серед населення;</w:t>
      </w:r>
    </w:p>
    <w:p w:rsidR="003658EC" w:rsidRDefault="009D4FF0">
      <w:pPr>
        <w:numPr>
          <w:ilvl w:val="0"/>
          <w:numId w:val="7"/>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інформаційні кампанії, толоки, клумби на місцях стихійних звалищ сміття;</w:t>
      </w:r>
    </w:p>
    <w:p w:rsidR="003658EC" w:rsidRDefault="009D4FF0">
      <w:pPr>
        <w:numPr>
          <w:ilvl w:val="0"/>
          <w:numId w:val="7"/>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збільшення кількості сміттєвих баків та урн по місту, особливо і віддалених мікрорайонах;</w:t>
      </w:r>
    </w:p>
    <w:p w:rsidR="003658EC" w:rsidRDefault="009D4FF0">
      <w:pPr>
        <w:numPr>
          <w:ilvl w:val="0"/>
          <w:numId w:val="11"/>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екологічний курс щодо свідомої утилізації власних відходів у домогосподарствах (сортування, компостні ями замість паління листя і трави);</w:t>
      </w:r>
    </w:p>
    <w:p w:rsidR="003658EC" w:rsidRDefault="009D4FF0">
      <w:pPr>
        <w:numPr>
          <w:ilvl w:val="0"/>
          <w:numId w:val="11"/>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інформаційні кампанії щодо шкоди випалювання вугілля, паління трави/листя;</w:t>
      </w:r>
    </w:p>
    <w:p w:rsidR="003658EC" w:rsidRDefault="009D4FF0">
      <w:pPr>
        <w:numPr>
          <w:ilvl w:val="0"/>
          <w:numId w:val="11"/>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облаштування місць для збору небезпечних відходів (пластикові пляшки, скло, батарейки, лампи тощо);</w:t>
      </w:r>
    </w:p>
    <w:p w:rsidR="003658EC" w:rsidRDefault="009D4FF0">
      <w:pPr>
        <w:numPr>
          <w:ilvl w:val="0"/>
          <w:numId w:val="11"/>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конкурс кращих практик збереження довкілля серед молоді;</w:t>
      </w:r>
    </w:p>
    <w:p w:rsidR="003658EC" w:rsidRDefault="009D4FF0">
      <w:pPr>
        <w:numPr>
          <w:ilvl w:val="0"/>
          <w:numId w:val="11"/>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вакцинація домашніх тварин;</w:t>
      </w:r>
    </w:p>
    <w:p w:rsidR="003658EC" w:rsidRDefault="009D4FF0">
      <w:pPr>
        <w:numPr>
          <w:ilvl w:val="0"/>
          <w:numId w:val="11"/>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підтримка та розвиток шкільного лісництва “Нескучанське”, яке формує у дітей екологічну свідомість, відповідальне ставлення до лісу й любов до природи рідного краю.</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ЗЕЛЕНИЙ ТА ЧИСТИЙ ТРОСТЯНЕЦЬ</w:t>
      </w:r>
    </w:p>
    <w:p w:rsidR="003658EC" w:rsidRDefault="009D4FF0">
      <w:pPr>
        <w:numPr>
          <w:ilvl w:val="0"/>
          <w:numId w:val="10"/>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повернення у власність громади дендропарку "Нескучне" </w:t>
      </w:r>
    </w:p>
    <w:p w:rsidR="003658EC" w:rsidRDefault="009D4FF0">
      <w:pPr>
        <w:numPr>
          <w:ilvl w:val="0"/>
          <w:numId w:val="10"/>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екотолоки, облаштування пішохідних та веломаршрутів у Дендропарку; </w:t>
      </w:r>
    </w:p>
    <w:p w:rsidR="003658EC" w:rsidRDefault="009D4FF0">
      <w:pPr>
        <w:numPr>
          <w:ilvl w:val="0"/>
          <w:numId w:val="10"/>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створення безпечних відпочинкових зон в дендропарку “Нескучне”, на водоймі “Красне”, на річці Ворскла в с. Климентове та </w:t>
      </w:r>
      <w:proofErr w:type="gramStart"/>
      <w:r>
        <w:rPr>
          <w:rFonts w:ascii="Times New Roman" w:eastAsia="Times New Roman" w:hAnsi="Times New Roman" w:cs="Times New Roman"/>
          <w:sz w:val="28"/>
          <w:szCs w:val="28"/>
        </w:rPr>
        <w:t>с.Кам'янка</w:t>
      </w:r>
      <w:proofErr w:type="gramEnd"/>
      <w:r>
        <w:rPr>
          <w:rFonts w:ascii="Times New Roman" w:eastAsia="Times New Roman" w:hAnsi="Times New Roman" w:cs="Times New Roman"/>
          <w:sz w:val="28"/>
          <w:szCs w:val="28"/>
        </w:rPr>
        <w:t>;</w:t>
      </w:r>
    </w:p>
    <w:p w:rsidR="003658EC" w:rsidRDefault="009D4FF0">
      <w:pPr>
        <w:numPr>
          <w:ilvl w:val="0"/>
          <w:numId w:val="10"/>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покращення якості питної води (заміна комунікацій);</w:t>
      </w:r>
    </w:p>
    <w:p w:rsidR="003658EC" w:rsidRDefault="009D4FF0">
      <w:pPr>
        <w:numPr>
          <w:ilvl w:val="0"/>
          <w:numId w:val="10"/>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удосконалення очисних споруд;</w:t>
      </w:r>
    </w:p>
    <w:p w:rsidR="003658EC" w:rsidRDefault="009D4FF0">
      <w:pPr>
        <w:numPr>
          <w:ilvl w:val="0"/>
          <w:numId w:val="10"/>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озеленення громади, толоки у віддалених мікрорайонах з нагородженням найактивніших учасників;</w:t>
      </w:r>
    </w:p>
    <w:p w:rsidR="003658EC" w:rsidRDefault="009D4FF0">
      <w:pPr>
        <w:numPr>
          <w:ilvl w:val="0"/>
          <w:numId w:val="10"/>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фінансування для молодіжних організацій, що займаються облаштуванням відкритих громадських просторів біля водойм та зелених зон громади;</w:t>
      </w:r>
    </w:p>
    <w:p w:rsidR="003658EC" w:rsidRDefault="009D4FF0">
      <w:pPr>
        <w:numPr>
          <w:ilvl w:val="0"/>
          <w:numId w:val="10"/>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щорічний загальний екоурок для учнів громади;</w:t>
      </w:r>
    </w:p>
    <w:p w:rsidR="003658EC" w:rsidRDefault="009D4FF0">
      <w:pPr>
        <w:numPr>
          <w:ilvl w:val="0"/>
          <w:numId w:val="10"/>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висадка іменних дерев до молодіжних святкувань;</w:t>
      </w:r>
    </w:p>
    <w:p w:rsidR="003658EC" w:rsidRDefault="009D4FF0">
      <w:pPr>
        <w:numPr>
          <w:ilvl w:val="0"/>
          <w:numId w:val="10"/>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залучення учнів шкільного лісництва “Нескучанське” до озеленення, екотолок, догляду за зеленими зонами та природоохоронних ініціатив громади.</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Очікувані результати до 2035 року:</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Реалізація Стратегії перетворить Тростянець на «чистий простір свідомих людей», де дбайливе ставлення до природи є не просто обов’язком, а частиною ідентичності молоді. Бо прагнемо створити закритий цикл управління відходами та відновити природні багатства, як основу для розвитку екотуризму.</w:t>
      </w:r>
    </w:p>
    <w:p w:rsidR="003658EC" w:rsidRDefault="009D4FF0">
      <w:pPr>
        <w:pStyle w:val="4"/>
        <w:keepNext w:val="0"/>
        <w:keepLines w:val="0"/>
        <w:spacing w:before="0" w:after="0" w:line="360" w:lineRule="auto"/>
        <w:ind w:firstLine="720"/>
        <w:jc w:val="both"/>
        <w:rPr>
          <w:rFonts w:ascii="Times New Roman" w:eastAsia="Times New Roman" w:hAnsi="Times New Roman" w:cs="Times New Roman"/>
          <w:color w:val="000000"/>
          <w:sz w:val="28"/>
          <w:szCs w:val="28"/>
        </w:rPr>
      </w:pPr>
      <w:bookmarkStart w:id="3" w:name="_50ew7ude2sy0" w:colFirst="0" w:colLast="0"/>
      <w:bookmarkEnd w:id="3"/>
      <w:r>
        <w:rPr>
          <w:rFonts w:ascii="Times New Roman" w:eastAsia="Times New Roman" w:hAnsi="Times New Roman" w:cs="Times New Roman"/>
          <w:b/>
          <w:bCs/>
          <w:color w:val="000000"/>
          <w:sz w:val="28"/>
          <w:szCs w:val="28"/>
        </w:rPr>
        <w:t>ЕКОЛОГІЧНА СВІДОМІСТЬ:</w:t>
      </w:r>
      <w:r>
        <w:rPr>
          <w:rFonts w:ascii="Times New Roman" w:eastAsia="Times New Roman" w:hAnsi="Times New Roman" w:cs="Times New Roman"/>
          <w:color w:val="000000"/>
          <w:sz w:val="28"/>
          <w:szCs w:val="28"/>
        </w:rPr>
        <w:t xml:space="preserve"> відходимо від моделі накопичення сміття до моделі його сортування та перероблення, залучаючи місцеві домогосподарства до екологічного способу життя. Запускається міської лінії сортування сміття та встановлюються баки для роздільного збору сміття. Для боротьби зі стихійними звалищами використовується метод облагородження території під посадку рослин. Залучено екологічні організації для облаштування спеціального пункту збору небезпечних відходів (батарейок, ламп тощо). Проведення інформкампаній та промоції про користь компостування формує звичку не спалювати листя та траву, сортувати відходи як у дорослих, так і у дітей.</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ДОВКІЛЛЯ:</w:t>
      </w:r>
      <w:r>
        <w:rPr>
          <w:rFonts w:ascii="Times New Roman" w:eastAsia="Times New Roman" w:hAnsi="Times New Roman" w:cs="Times New Roman"/>
          <w:sz w:val="28"/>
          <w:szCs w:val="28"/>
        </w:rPr>
        <w:t xml:space="preserve"> перетворення нашого природного багатства, зокрема дендропарку «Нескучне» та прибережних зон, на сучасні та безпечні місця відпочинку, що зберігають біорізноманіття. А саме: створення мережі маркованих “зелених маршрутів” та велодоріжок </w:t>
      </w:r>
      <w:proofErr w:type="gramStart"/>
      <w:r>
        <w:rPr>
          <w:rFonts w:ascii="Times New Roman" w:eastAsia="Times New Roman" w:hAnsi="Times New Roman" w:cs="Times New Roman"/>
          <w:sz w:val="28"/>
          <w:szCs w:val="28"/>
        </w:rPr>
        <w:t>у дендропарку</w:t>
      </w:r>
      <w:proofErr w:type="gramEnd"/>
      <w:r>
        <w:rPr>
          <w:rFonts w:ascii="Times New Roman" w:eastAsia="Times New Roman" w:hAnsi="Times New Roman" w:cs="Times New Roman"/>
          <w:sz w:val="28"/>
          <w:szCs w:val="28"/>
        </w:rPr>
        <w:t xml:space="preserve">, щорічна висадка понад 50 іменних та декоративних дерев молодими мешканцями; часткова модернізація очисних споруд для покращення якості питної води. Повернення дендропарку “Нескучне” у власність громади та його відродження як туристичного магніту стане першим кроком у цій справі. </w:t>
      </w:r>
    </w:p>
    <w:p w:rsidR="003658EC" w:rsidRDefault="009D4FF0">
      <w:pPr>
        <w:spacing w:line="360" w:lineRule="auto"/>
        <w:ind w:firstLine="720"/>
        <w:jc w:val="both"/>
        <w:rPr>
          <w:rFonts w:ascii="Times New Roman" w:eastAsia="Times New Roman" w:hAnsi="Times New Roman" w:cs="Times New Roman"/>
          <w:b/>
          <w:bCs/>
          <w:sz w:val="28"/>
          <w:szCs w:val="28"/>
          <w:highlight w:val="yellow"/>
        </w:rPr>
      </w:pPr>
      <w:r>
        <w:rPr>
          <w:rFonts w:ascii="Times New Roman" w:eastAsia="Times New Roman" w:hAnsi="Times New Roman" w:cs="Times New Roman"/>
          <w:sz w:val="28"/>
          <w:szCs w:val="28"/>
        </w:rPr>
        <w:t>Молодь Тростянця стає головним амбасадором екологічних змін через неформальну освіту, допомогу лісництву та волонтерські ініціативи, а саме: залучення учнівської молоді до діяльності шкільного лісництва “Нескучанське”, проведення щомісячних екотолок у віддалених мікрорайонах, впровадження щорічного загальноміського екоуроку та конкурсів грантів для молодіжних екоініціатив. Ці ініціативи підвищують рівень екологічної відповідальності серед мешканців, розвивають культуру гуманного поводження з тваринами (вакцинація, догляд).</w:t>
      </w:r>
    </w:p>
    <w:p w:rsidR="003658EC" w:rsidRDefault="003658EC">
      <w:pPr>
        <w:widowControl w:val="0"/>
        <w:spacing w:line="360" w:lineRule="auto"/>
        <w:jc w:val="both"/>
        <w:rPr>
          <w:rFonts w:ascii="Times New Roman" w:eastAsia="Times New Roman" w:hAnsi="Times New Roman" w:cs="Times New Roman"/>
          <w:sz w:val="28"/>
          <w:szCs w:val="28"/>
        </w:rPr>
      </w:pPr>
    </w:p>
    <w:p w:rsidR="003658EC" w:rsidRDefault="009D4FF0">
      <w:pPr>
        <w:widowControl w:val="0"/>
        <w:spacing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“ТРОСТЯНЕЦЬ 2035 – ПРОСТІР ВПЕВНЕНОГО РУХУ”</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Тростянець – це безпечне, інклюзивне та безбар’єрне місто з сучасною інфраструктурою, що відповідає потребам молоді та забезпечує комфортне життя в умовах воєнного часу. </w:t>
      </w: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Молодь бачить Тростянець БЕЗПЕЧНИМ:</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забезпечення громадського </w:t>
      </w:r>
      <w:proofErr w:type="gramStart"/>
      <w:r>
        <w:rPr>
          <w:rFonts w:ascii="Times New Roman" w:eastAsia="Times New Roman" w:hAnsi="Times New Roman" w:cs="Times New Roman"/>
          <w:sz w:val="28"/>
          <w:szCs w:val="28"/>
        </w:rPr>
        <w:t>порядку ;</w:t>
      </w:r>
      <w:proofErr w:type="gramEnd"/>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освітлення віддалених районів міста;</w:t>
      </w: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 зменшення кількості безпритульних тварин;</w:t>
      </w:r>
    </w:p>
    <w:p w:rsidR="003658EC" w:rsidRDefault="009D4FF0">
      <w:pPr>
        <w:spacing w:line="360" w:lineRule="auto"/>
        <w:ind w:left="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створення модульних укриттів.</w:t>
      </w: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Молодь бачить Тростянець РОЗВИНЕНИМ ТА БЕЗБАР’ЄРНИМ:</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розвиток транспортної інфраструктури;</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впровадження енергоефективних технологій;</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впровадження безбар’єрності в інфраструктурі комунальних та бізнес закладів;</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Молодь вважає, що реалізації цих напрямків зробить місто більш безпечним через будівництво модульних укриттів, краще освітленим на околицях, зменшення кількості безпритульних тварин. Важливими питання для молоді є і впровадження безбар’єрності в комунальних та бізнес-закладах, покращення стану комунальної інфраструктури та транспортного сполучення </w:t>
      </w:r>
      <w:proofErr w:type="gramStart"/>
      <w:r>
        <w:rPr>
          <w:rFonts w:ascii="Times New Roman" w:eastAsia="Times New Roman" w:hAnsi="Times New Roman" w:cs="Times New Roman"/>
          <w:sz w:val="28"/>
          <w:szCs w:val="28"/>
        </w:rPr>
        <w:t>у межах</w:t>
      </w:r>
      <w:proofErr w:type="gramEnd"/>
      <w:r>
        <w:rPr>
          <w:rFonts w:ascii="Times New Roman" w:eastAsia="Times New Roman" w:hAnsi="Times New Roman" w:cs="Times New Roman"/>
          <w:sz w:val="28"/>
          <w:szCs w:val="28"/>
        </w:rPr>
        <w:t xml:space="preserve"> міста.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Серед головних завдань у цих напрямках є наступні.</w:t>
      </w:r>
    </w:p>
    <w:p w:rsidR="003658EC" w:rsidRDefault="003658EC">
      <w:pPr>
        <w:spacing w:line="360" w:lineRule="auto"/>
        <w:ind w:firstLine="720"/>
        <w:jc w:val="both"/>
        <w:rPr>
          <w:rFonts w:ascii="Times New Roman" w:eastAsia="Times New Roman" w:hAnsi="Times New Roman" w:cs="Times New Roman"/>
          <w:sz w:val="28"/>
          <w:szCs w:val="28"/>
        </w:rPr>
      </w:pP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b/>
          <w:bCs/>
          <w:sz w:val="28"/>
          <w:szCs w:val="28"/>
        </w:rPr>
        <w:t>БЕЗПЕЧНИЙ ТРОСТЯНЕЦЬ</w:t>
      </w:r>
    </w:p>
    <w:p w:rsidR="003658EC" w:rsidRDefault="009D4FF0">
      <w:pPr>
        <w:numPr>
          <w:ilvl w:val="0"/>
          <w:numId w:val="12"/>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посилення контролю безпеки руху на дорогах, розв’язання проблеми “сліпих” зон на центральних вулицях;</w:t>
      </w:r>
    </w:p>
    <w:p w:rsidR="003658EC" w:rsidRDefault="009D4FF0">
      <w:pPr>
        <w:numPr>
          <w:ilvl w:val="0"/>
          <w:numId w:val="12"/>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залучення молоді до моніторингу та планування встановлення освітлення і камер нагляду в районах міста;</w:t>
      </w:r>
    </w:p>
    <w:p w:rsidR="003658EC" w:rsidRDefault="009D4FF0">
      <w:pPr>
        <w:numPr>
          <w:ilvl w:val="0"/>
          <w:numId w:val="12"/>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навчальні тренінги для молоді з реагування на надзвичайні ситуації, що включають взаємодію з правоохоронними органами та службами порятунку;</w:t>
      </w:r>
    </w:p>
    <w:p w:rsidR="003658EC" w:rsidRDefault="009D4FF0">
      <w:pPr>
        <w:numPr>
          <w:ilvl w:val="0"/>
          <w:numId w:val="12"/>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покращити освітлення у віддалених мікрорайонах міста;</w:t>
      </w:r>
    </w:p>
    <w:p w:rsidR="003658EC" w:rsidRDefault="009D4FF0">
      <w:pPr>
        <w:numPr>
          <w:ilvl w:val="0"/>
          <w:numId w:val="12"/>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контроль водіїв мотоциклів, мопедів, що їздять без глушників.</w:t>
      </w:r>
    </w:p>
    <w:p w:rsidR="003658EC" w:rsidRDefault="003658EC">
      <w:pPr>
        <w:spacing w:line="360" w:lineRule="auto"/>
        <w:ind w:left="720"/>
        <w:jc w:val="both"/>
        <w:rPr>
          <w:rFonts w:ascii="Times New Roman" w:eastAsia="Times New Roman" w:hAnsi="Times New Roman" w:cs="Times New Roman"/>
          <w:sz w:val="28"/>
          <w:szCs w:val="28"/>
        </w:rPr>
      </w:pP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РОЗВИНЕНИЙ ТА БЕЗБАР’ЄРНИЙ ТРОСТЯНЕЦЬ</w:t>
      </w:r>
    </w:p>
    <w:p w:rsidR="003658EC" w:rsidRDefault="009D4FF0">
      <w:pPr>
        <w:numPr>
          <w:ilvl w:val="0"/>
          <w:numId w:val="3"/>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модульних укриттів на вулицях міста;</w:t>
      </w:r>
    </w:p>
    <w:p w:rsidR="003658EC" w:rsidRDefault="009D4FF0">
      <w:pPr>
        <w:numPr>
          <w:ilvl w:val="0"/>
          <w:numId w:val="3"/>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подальша розбудова доріг, особливо по старостатах;</w:t>
      </w:r>
    </w:p>
    <w:p w:rsidR="003658EC" w:rsidRDefault="009D4FF0">
      <w:pPr>
        <w:numPr>
          <w:ilvl w:val="0"/>
          <w:numId w:val="3"/>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притулку для безпритульних тварин, проведення інформаційної кампанії серед населення щодо гуманного ставлення до домашніх тварин;</w:t>
      </w:r>
    </w:p>
    <w:p w:rsidR="003658EC" w:rsidRDefault="009D4FF0">
      <w:pPr>
        <w:numPr>
          <w:ilvl w:val="0"/>
          <w:numId w:val="3"/>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облаштування закритої зони для вигулу домашніх тварин;</w:t>
      </w:r>
    </w:p>
    <w:p w:rsidR="003658EC" w:rsidRDefault="009D4FF0">
      <w:pPr>
        <w:numPr>
          <w:ilvl w:val="0"/>
          <w:numId w:val="3"/>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впровадження енергоефективних технологій;</w:t>
      </w:r>
    </w:p>
    <w:p w:rsidR="003658EC" w:rsidRDefault="009D4FF0">
      <w:pPr>
        <w:numPr>
          <w:ilvl w:val="0"/>
          <w:numId w:val="3"/>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облаштування безкоштовного публічного туалету у центрі міста.</w:t>
      </w:r>
    </w:p>
    <w:p w:rsidR="003658EC" w:rsidRDefault="009D4FF0">
      <w:pPr>
        <w:numPr>
          <w:ilvl w:val="0"/>
          <w:numId w:val="2"/>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збільшити кількість рейсів громадського транспорту;</w:t>
      </w:r>
    </w:p>
    <w:p w:rsidR="003658EC" w:rsidRDefault="009D4FF0">
      <w:pPr>
        <w:numPr>
          <w:ilvl w:val="0"/>
          <w:numId w:val="2"/>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відновлення роботи світлофорів на дорогах;</w:t>
      </w:r>
    </w:p>
    <w:p w:rsidR="003658EC" w:rsidRDefault="009D4FF0">
      <w:pPr>
        <w:numPr>
          <w:ilvl w:val="0"/>
          <w:numId w:val="2"/>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сприяння забезпеченню молоді доступним житлом шляхом участі громади у державних та обласних програмах пільгового іпотечного кредитування, співфінансування та створення умов для житлового будівництва; </w:t>
      </w:r>
    </w:p>
    <w:p w:rsidR="003658EC" w:rsidRDefault="009D4FF0">
      <w:pPr>
        <w:numPr>
          <w:ilvl w:val="0"/>
          <w:numId w:val="2"/>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збільшити кількість паркомісць для авто у центральній частині міста.</w:t>
      </w:r>
    </w:p>
    <w:p w:rsidR="003658EC" w:rsidRDefault="009D4FF0">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Очікувані результати до 2035 року:</w:t>
      </w:r>
    </w:p>
    <w:p w:rsidR="003658EC" w:rsidRDefault="009D4FF0">
      <w:p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ab/>
      </w:r>
      <w:r>
        <w:rPr>
          <w:rFonts w:ascii="Times New Roman" w:eastAsia="Times New Roman" w:hAnsi="Times New Roman" w:cs="Times New Roman"/>
          <w:sz w:val="28"/>
          <w:szCs w:val="28"/>
        </w:rPr>
        <w:t xml:space="preserve">Тростянець 2035 </w:t>
      </w:r>
      <w:r>
        <w:rPr>
          <w:rFonts w:ascii="Times New Roman" w:eastAsia="Times New Roman" w:hAnsi="Times New Roman" w:cs="Times New Roman"/>
          <w:b/>
          <w:bCs/>
          <w:sz w:val="28"/>
          <w:szCs w:val="28"/>
        </w:rPr>
        <w:t>–</w:t>
      </w:r>
      <w:r>
        <w:rPr>
          <w:rFonts w:ascii="Times New Roman" w:eastAsia="Times New Roman" w:hAnsi="Times New Roman" w:cs="Times New Roman"/>
          <w:sz w:val="28"/>
          <w:szCs w:val="28"/>
        </w:rPr>
        <w:t xml:space="preserve"> це місто без кордонів, де молоді батьки з візочками, люди з інвалідністю та маломобільні групи мають рівний доступ до всіх послуг. Реалізація стратегії у сфері інфраструктури та безпеки перетворить місто на “простір впевненого руху”, де кожен молодий мешканець почувається захищеним, а міське середовище є зручним для всіх груп населення, незалежно від стану здоров’я чи місця проживання.</w:t>
      </w:r>
    </w:p>
    <w:p w:rsidR="003658EC" w:rsidRDefault="009D4FF0">
      <w:pPr>
        <w:pStyle w:val="4"/>
        <w:keepNext w:val="0"/>
        <w:keepLines w:val="0"/>
        <w:spacing w:before="0" w:after="0" w:line="360" w:lineRule="auto"/>
        <w:ind w:firstLine="720"/>
        <w:jc w:val="both"/>
        <w:rPr>
          <w:rFonts w:ascii="Times New Roman" w:eastAsia="Times New Roman" w:hAnsi="Times New Roman" w:cs="Times New Roman"/>
          <w:sz w:val="28"/>
          <w:szCs w:val="28"/>
        </w:rPr>
      </w:pPr>
      <w:bookmarkStart w:id="4" w:name="_mnwwq7tpobs4" w:colFirst="0" w:colLast="0"/>
      <w:bookmarkEnd w:id="4"/>
      <w:r>
        <w:rPr>
          <w:rFonts w:ascii="Times New Roman" w:eastAsia="Times New Roman" w:hAnsi="Times New Roman" w:cs="Times New Roman"/>
          <w:b/>
          <w:bCs/>
          <w:color w:val="000000"/>
          <w:sz w:val="28"/>
          <w:szCs w:val="28"/>
        </w:rPr>
        <w:t>БЕЗПЕКА</w:t>
      </w:r>
      <w:r>
        <w:rPr>
          <w:rFonts w:ascii="Times New Roman" w:eastAsia="Times New Roman" w:hAnsi="Times New Roman" w:cs="Times New Roman"/>
          <w:color w:val="000000"/>
          <w:sz w:val="28"/>
          <w:szCs w:val="28"/>
        </w:rPr>
        <w:t>: створення захищеного міського простору, де цифрові технології та сучасна архітектура безпеки працюють на випередження ризиків. Передбачено встановлення модульних укриттів у кроковій доступності; збільшення кількості камер відеоспостереження у віддалених районах; охоплення молоді громади тренінгами з тактичної медицини та реагування на НС; зменшення рівня дорожньо-транспортного травматизму; створення культури відповідального ставлення до безпеки (відсутність шумового забруднення, дотримання ПДР).</w:t>
      </w:r>
    </w:p>
    <w:p w:rsidR="003658EC" w:rsidRDefault="009D4FF0">
      <w:pPr>
        <w:pStyle w:val="4"/>
        <w:keepNext w:val="0"/>
        <w:keepLines w:val="0"/>
        <w:spacing w:before="0" w:after="0" w:line="360" w:lineRule="auto"/>
        <w:ind w:firstLine="720"/>
        <w:jc w:val="both"/>
        <w:rPr>
          <w:rFonts w:ascii="Times New Roman" w:eastAsia="Times New Roman" w:hAnsi="Times New Roman" w:cs="Times New Roman"/>
          <w:color w:val="000000"/>
          <w:sz w:val="28"/>
          <w:szCs w:val="28"/>
        </w:rPr>
      </w:pPr>
      <w:bookmarkStart w:id="5" w:name="_yp534ihh6oam" w:colFirst="0" w:colLast="0"/>
      <w:bookmarkEnd w:id="5"/>
      <w:r>
        <w:rPr>
          <w:rFonts w:ascii="Times New Roman" w:eastAsia="Times New Roman" w:hAnsi="Times New Roman" w:cs="Times New Roman"/>
          <w:b/>
          <w:bCs/>
          <w:color w:val="000000"/>
          <w:sz w:val="28"/>
          <w:szCs w:val="28"/>
        </w:rPr>
        <w:t>РОЗВИТОК ІНФРАСТРУКТУРИ ТА БЕЗБАР’ЄРНІСТЬ:</w:t>
      </w:r>
      <w:r>
        <w:rPr>
          <w:rFonts w:ascii="Times New Roman" w:eastAsia="Times New Roman" w:hAnsi="Times New Roman" w:cs="Times New Roman"/>
          <w:color w:val="000000"/>
          <w:sz w:val="28"/>
          <w:szCs w:val="28"/>
        </w:rPr>
        <w:t xml:space="preserve"> адаптація комунальних закладів та об’єктів приватного бізнесу до стандартів безбар’єрності, облаштування сучасної безплатної громадської вбиральні в центрі міста. Це дасть змогу зменшити рівень фізичної та соціальної ізоляції молоді з інвалідністю, перетворити Тростянець на взірцеве місто безбар’єрності в регіоні, сформувати естетичне та функціональне міське середовище.</w:t>
      </w:r>
    </w:p>
    <w:p w:rsidR="003658EC" w:rsidRDefault="009D4FF0">
      <w:pPr>
        <w:pStyle w:val="4"/>
        <w:keepNext w:val="0"/>
        <w:keepLines w:val="0"/>
        <w:spacing w:before="0" w:after="0" w:line="360" w:lineRule="auto"/>
        <w:ind w:firstLine="720"/>
        <w:jc w:val="both"/>
        <w:rPr>
          <w:rFonts w:ascii="Times New Roman" w:eastAsia="Times New Roman" w:hAnsi="Times New Roman" w:cs="Times New Roman"/>
          <w:b/>
          <w:bCs/>
          <w:sz w:val="28"/>
          <w:szCs w:val="28"/>
          <w:highlight w:val="yellow"/>
        </w:rPr>
      </w:pPr>
      <w:bookmarkStart w:id="6" w:name="_y140ipcodou7" w:colFirst="0" w:colLast="0"/>
      <w:bookmarkEnd w:id="6"/>
      <w:r>
        <w:rPr>
          <w:rFonts w:ascii="Times New Roman" w:eastAsia="Times New Roman" w:hAnsi="Times New Roman" w:cs="Times New Roman"/>
          <w:color w:val="000000"/>
          <w:sz w:val="28"/>
          <w:szCs w:val="28"/>
        </w:rPr>
        <w:t>Серед інших важливих сфер розвитку є: покращення транспортного сполучення з віддаленими мікрорайонами, шляхом збільшення частоти рейсів громадського транспорту; залучення молодих сімей до програм пільгового іпотечного кредитування (єОселя та місцеві доплати); переведення вуличного освітлення у віддалених районах на енергоефективні чи автономні технології.</w:t>
      </w:r>
      <w:r>
        <w:rPr>
          <w:rFonts w:ascii="Times New Roman" w:eastAsia="Times New Roman" w:hAnsi="Times New Roman" w:cs="Times New Roman"/>
          <w:sz w:val="28"/>
          <w:szCs w:val="28"/>
        </w:rPr>
        <w:t xml:space="preserve"> </w:t>
      </w:r>
    </w:p>
    <w:p w:rsidR="003658EC" w:rsidRDefault="009D4FF0">
      <w:pPr>
        <w:spacing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“ТРОСТЯНЕЦЬ 2035 – МІСТО ПРОФЕСІЙНОЇ САМОРЕАЛІЗАЦІЇ”</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Тростянець забезпечує молодим спеціалістам та підліткам повноцінну траєкторію кар’єрного зростання, від якісної профорієнтації до конкурентного працевлаштування та можливості професійного розвитку у різних напрямках. А задля економічного відновлення громади, пропонує молоді можливості для створення інноваційного та соціально відповідального бізнесу за підтримки місцевої влади.</w:t>
      </w: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Молодь бачить Тростянець ПЕРСПЕКТИВНИМ:</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створення середовища для передачі досвіду, консультування, менторства молоді з підліткового віку;</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програми підтримки залучених молодих спеціалістів;</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розширення можливості працювати молоді 14-18 років.</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розвиток неформальної освіти для молоді</w:t>
      </w:r>
    </w:p>
    <w:p w:rsidR="003658EC" w:rsidRDefault="009D4FF0">
      <w:pPr>
        <w:spacing w:line="360" w:lineRule="auto"/>
        <w:ind w:firstLine="720"/>
        <w:jc w:val="both"/>
        <w:rPr>
          <w:rFonts w:ascii="Times New Roman" w:eastAsia="Times New Roman" w:hAnsi="Times New Roman" w:cs="Times New Roman"/>
          <w:b/>
          <w:bCs/>
          <w:sz w:val="28"/>
          <w:szCs w:val="28"/>
          <w:highlight w:val="yellow"/>
        </w:rPr>
      </w:pPr>
      <w:r>
        <w:rPr>
          <w:rFonts w:ascii="Times New Roman" w:eastAsia="Times New Roman" w:hAnsi="Times New Roman" w:cs="Times New Roman"/>
          <w:b/>
          <w:bCs/>
          <w:sz w:val="28"/>
          <w:szCs w:val="28"/>
        </w:rPr>
        <w:t>Молодь бачить Тростянець ПРАЦЬОВИТИМ:</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впровадження сучасних методів профорієнтації;</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створення робочих місць для молоді;</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підвищення кваліфікації та перекваліфікація молодих спеціалістів;</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перекваліфікації молоді з інвалідністю</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коворкінг для фрілансерів.</w:t>
      </w: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Молодь бачить Тростянець ПІДПРИЄМНИЦЬКИМ:</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створення сприятливого бізнес-середовища;</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підтримка підприємницької активності;</w:t>
      </w: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 підвищення фінансової та бізнес-грамотності.</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Професійне становлення та підвищення рівня працевлаштування саме у громаді, зокрема випускників та внутрішньо переміщених осіб (ВПО), є одним із пріоритетних у молоді. Для цього важливо посилити профорієнтаційну роботу, що допоможе молоді підвищити самооцінку та успішно вийти на ринок праці. Залучення та підтримка молодих спеціалістів через соціальне житло та доплати зменшить міграцію та забезпечить підприємства громади кваліфікованими кадрами.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забезпечення майбутнього міста необхідне збільшення кількості молодих підприємців та стартапів, підвищення фінансової грамотності молоді, створення доступного та пільгового бізнес-простору. Молодь вірить </w:t>
      </w:r>
      <w:proofErr w:type="gramStart"/>
      <w:r>
        <w:rPr>
          <w:rFonts w:ascii="Times New Roman" w:eastAsia="Times New Roman" w:hAnsi="Times New Roman" w:cs="Times New Roman"/>
          <w:sz w:val="28"/>
          <w:szCs w:val="28"/>
        </w:rPr>
        <w:t>в  зміцнення</w:t>
      </w:r>
      <w:proofErr w:type="gramEnd"/>
      <w:r>
        <w:rPr>
          <w:rFonts w:ascii="Times New Roman" w:eastAsia="Times New Roman" w:hAnsi="Times New Roman" w:cs="Times New Roman"/>
          <w:sz w:val="28"/>
          <w:szCs w:val="28"/>
        </w:rPr>
        <w:t xml:space="preserve"> економічної стійкості громади та створення нових робочих місць через розвиток підприємницької культури, попри виклики прифронтової території.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Серед головних завдань у цих напрямках є наступні.</w:t>
      </w: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ПЕРСПЕКТИВНИЙ ТРОСТЯНЕЦЬ</w:t>
      </w:r>
    </w:p>
    <w:p w:rsidR="003658EC" w:rsidRDefault="009D4FF0">
      <w:pPr>
        <w:numPr>
          <w:ilvl w:val="0"/>
          <w:numId w:val="6"/>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Запровадження послуг кар'єрного консультування та менторства в МЦ “КОРОБКА”;</w:t>
      </w:r>
    </w:p>
    <w:p w:rsidR="003658EC" w:rsidRDefault="009D4FF0">
      <w:pPr>
        <w:numPr>
          <w:ilvl w:val="0"/>
          <w:numId w:val="6"/>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створити структурований профорієнтаційний курс з денним стажуванням у місцевих компаніях та ОМС;</w:t>
      </w:r>
    </w:p>
    <w:p w:rsidR="003658EC" w:rsidRDefault="009D4FF0">
      <w:pPr>
        <w:numPr>
          <w:ilvl w:val="0"/>
          <w:numId w:val="6"/>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“Майстерні професій” на базі навчальних закладів або позашкілля;</w:t>
      </w:r>
    </w:p>
    <w:p w:rsidR="003658EC" w:rsidRDefault="009D4FF0">
      <w:pPr>
        <w:numPr>
          <w:ilvl w:val="0"/>
          <w:numId w:val="6"/>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обмін досвідом з іншими громадами стосовно профорієнтації підлітків;</w:t>
      </w:r>
    </w:p>
    <w:p w:rsidR="003658EC" w:rsidRDefault="009D4FF0">
      <w:pPr>
        <w:numPr>
          <w:ilvl w:val="0"/>
          <w:numId w:val="6"/>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зустрічі з фахівцями різних професій в МЦ “КОРОБКА”;</w:t>
      </w:r>
    </w:p>
    <w:p w:rsidR="003658EC" w:rsidRDefault="009D4FF0">
      <w:pPr>
        <w:numPr>
          <w:ilvl w:val="0"/>
          <w:numId w:val="6"/>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поїздки молоді на дні відкритих дверей до ВНЗ;</w:t>
      </w:r>
    </w:p>
    <w:p w:rsidR="003658EC" w:rsidRDefault="009D4FF0">
      <w:pPr>
        <w:numPr>
          <w:ilvl w:val="0"/>
          <w:numId w:val="6"/>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цільове інформування молоді про можливості неформальної освіти; </w:t>
      </w:r>
    </w:p>
    <w:p w:rsidR="003658EC" w:rsidRDefault="009D4FF0">
      <w:pPr>
        <w:numPr>
          <w:ilvl w:val="0"/>
          <w:numId w:val="6"/>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безплатні курси іноземних мов та мовні клуби з носіями мов;</w:t>
      </w:r>
    </w:p>
    <w:p w:rsidR="003658EC" w:rsidRDefault="009D4FF0">
      <w:pPr>
        <w:numPr>
          <w:ilvl w:val="0"/>
          <w:numId w:val="6"/>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молодіжні обміни/стажування/поїздки;</w:t>
      </w:r>
    </w:p>
    <w:p w:rsidR="003658EC" w:rsidRDefault="009D4FF0">
      <w:pPr>
        <w:numPr>
          <w:ilvl w:val="0"/>
          <w:numId w:val="6"/>
        </w:num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регулярні зустрічі молоді з різними середовищами (влада, бізнес, спорт тощо).</w:t>
      </w: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ПРАЦЬОВИТИЙ ТРОСТЯНЕЦЬ</w:t>
      </w:r>
    </w:p>
    <w:p w:rsidR="003658EC" w:rsidRDefault="009D4FF0">
      <w:pPr>
        <w:numPr>
          <w:ilvl w:val="0"/>
          <w:numId w:val="14"/>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Курси з підвищення кваліфікації з пошуку роботи (для ВПО, жінок після декрету, випускників);</w:t>
      </w:r>
    </w:p>
    <w:p w:rsidR="003658EC" w:rsidRDefault="009D4FF0">
      <w:pPr>
        <w:numPr>
          <w:ilvl w:val="0"/>
          <w:numId w:val="14"/>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вузькотематичні курси про сучасні професії (фотографування, візаж, SMM, медичні, робітничі тощо);</w:t>
      </w:r>
    </w:p>
    <w:p w:rsidR="003658EC" w:rsidRDefault="009D4FF0">
      <w:pPr>
        <w:numPr>
          <w:ilvl w:val="0"/>
          <w:numId w:val="14"/>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курси з перекваліфікації людей з інвалідністю;</w:t>
      </w:r>
    </w:p>
    <w:p w:rsidR="003658EC" w:rsidRDefault="009D4FF0">
      <w:pPr>
        <w:numPr>
          <w:ilvl w:val="0"/>
          <w:numId w:val="4"/>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впровадження програм підтримки залучених молодих спеціалістів (доплати до заробітної плати, соціальне житло);</w:t>
      </w:r>
    </w:p>
    <w:p w:rsidR="003658EC" w:rsidRDefault="009D4FF0">
      <w:pPr>
        <w:numPr>
          <w:ilvl w:val="0"/>
          <w:numId w:val="4"/>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популяризація місцевих установ та підприємств, де можна працювати молоді;</w:t>
      </w:r>
    </w:p>
    <w:p w:rsidR="003658EC" w:rsidRDefault="009D4FF0">
      <w:pPr>
        <w:numPr>
          <w:ilvl w:val="0"/>
          <w:numId w:val="4"/>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ярмарки професій та гіди по професіях для учнів;</w:t>
      </w:r>
    </w:p>
    <w:p w:rsidR="003658EC" w:rsidRDefault="009D4FF0">
      <w:pPr>
        <w:numPr>
          <w:ilvl w:val="0"/>
          <w:numId w:val="4"/>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умов для працевлаштування молоді 14-18 років;</w:t>
      </w:r>
    </w:p>
    <w:p w:rsidR="003658EC" w:rsidRDefault="009D4FF0">
      <w:pPr>
        <w:numPr>
          <w:ilvl w:val="0"/>
          <w:numId w:val="4"/>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цифровий додаток з інформацією про вакансії, можливості та послуги для молоді.</w:t>
      </w:r>
    </w:p>
    <w:p w:rsidR="003658EC" w:rsidRDefault="009D4FF0">
      <w:pPr>
        <w:spacing w:line="360" w:lineRule="auto"/>
        <w:ind w:left="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ПІДПРИЄМНИЦЬКИЙ ТРОСТЯНЕЦЬ</w:t>
      </w:r>
    </w:p>
    <w:p w:rsidR="003658EC" w:rsidRDefault="009D4FF0">
      <w:pPr>
        <w:numPr>
          <w:ilvl w:val="0"/>
          <w:numId w:val="16"/>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завершення будівництва Бізнес хабу;</w:t>
      </w:r>
    </w:p>
    <w:p w:rsidR="003658EC" w:rsidRDefault="009D4FF0">
      <w:pPr>
        <w:numPr>
          <w:ilvl w:val="0"/>
          <w:numId w:val="16"/>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майданчика для огляду вільних приміщень та земельних ділянок на території громади;</w:t>
      </w:r>
    </w:p>
    <w:p w:rsidR="003658EC" w:rsidRDefault="009D4FF0">
      <w:pPr>
        <w:numPr>
          <w:ilvl w:val="0"/>
          <w:numId w:val="16"/>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ком'юніті серед місцевого бізнесу із проведенням щомісячних зборів;</w:t>
      </w:r>
    </w:p>
    <w:p w:rsidR="003658EC" w:rsidRDefault="009D4FF0">
      <w:pPr>
        <w:numPr>
          <w:ilvl w:val="0"/>
          <w:numId w:val="16"/>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організація поїздок з обміну досвідом та пошуку партнерів у міста побратими м. Тростянця; </w:t>
      </w:r>
    </w:p>
    <w:p w:rsidR="003658EC" w:rsidRDefault="009D4FF0">
      <w:pPr>
        <w:numPr>
          <w:ilvl w:val="0"/>
          <w:numId w:val="16"/>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створення електронного та друкованого каталогу із товарами місцевих виробників; </w:t>
      </w:r>
    </w:p>
    <w:p w:rsidR="003658EC" w:rsidRDefault="009D4FF0">
      <w:pPr>
        <w:numPr>
          <w:ilvl w:val="0"/>
          <w:numId w:val="16"/>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підтримка місцевих підприємців у питанні брендування власної продукції під єдиний брендбук громади для спільного просування; </w:t>
      </w:r>
    </w:p>
    <w:p w:rsidR="003658EC" w:rsidRDefault="009D4FF0">
      <w:pPr>
        <w:numPr>
          <w:ilvl w:val="0"/>
          <w:numId w:val="16"/>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розвиток зеленого туризму та популяризація цього напрямку в громаді;</w:t>
      </w:r>
    </w:p>
    <w:p w:rsidR="003658EC" w:rsidRDefault="009D4FF0">
      <w:pPr>
        <w:numPr>
          <w:ilvl w:val="0"/>
          <w:numId w:val="16"/>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грантові програми для започаткування бізнесу, у тому числі ветеранського та соціальних підприємств;</w:t>
      </w:r>
    </w:p>
    <w:p w:rsidR="003658EC" w:rsidRDefault="009D4FF0">
      <w:pPr>
        <w:numPr>
          <w:ilvl w:val="0"/>
          <w:numId w:val="16"/>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сприятливих умов для створення нових робочих місць;</w:t>
      </w:r>
    </w:p>
    <w:p w:rsidR="003658EC" w:rsidRDefault="009D4FF0">
      <w:pPr>
        <w:numPr>
          <w:ilvl w:val="0"/>
          <w:numId w:val="5"/>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навчання молоді фінансовій та цифровій грамотності із залученням профільних спеціалістів;</w:t>
      </w:r>
    </w:p>
    <w:p w:rsidR="003658EC" w:rsidRDefault="009D4FF0">
      <w:pPr>
        <w:numPr>
          <w:ilvl w:val="0"/>
          <w:numId w:val="5"/>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освітні курси щодо підвищення кваліфікації підприємців.</w:t>
      </w:r>
    </w:p>
    <w:p w:rsidR="003658EC" w:rsidRDefault="009D4FF0">
      <w:pPr>
        <w:numPr>
          <w:ilvl w:val="0"/>
          <w:numId w:val="5"/>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курс для підлітків “Основи підприємництва”.</w:t>
      </w:r>
    </w:p>
    <w:p w:rsidR="003658EC" w:rsidRDefault="009D4FF0">
      <w:pPr>
        <w:numPr>
          <w:ilvl w:val="0"/>
          <w:numId w:val="9"/>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офісних майданчиків для оренди молодими підприємцями.</w:t>
      </w:r>
    </w:p>
    <w:p w:rsidR="003658EC" w:rsidRDefault="009D4FF0">
      <w:pPr>
        <w:numPr>
          <w:ilvl w:val="0"/>
          <w:numId w:val="9"/>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розвиток та популяризація “Центру підтримки бізнесу”;</w:t>
      </w:r>
    </w:p>
    <w:p w:rsidR="003658EC" w:rsidRDefault="009D4FF0">
      <w:pPr>
        <w:numPr>
          <w:ilvl w:val="0"/>
          <w:numId w:val="9"/>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бізнес менторство для молодих людей, які прагнуть започаткувати бізнес;</w:t>
      </w:r>
    </w:p>
    <w:p w:rsidR="003658EC" w:rsidRDefault="009D4FF0">
      <w:pPr>
        <w:numPr>
          <w:ilvl w:val="0"/>
          <w:numId w:val="9"/>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флагманські івенти для стартап команд з метою нетворкінгу та обміну досвідом;</w:t>
      </w:r>
    </w:p>
    <w:p w:rsidR="003658EC" w:rsidRDefault="009D4FF0">
      <w:pPr>
        <w:numPr>
          <w:ilvl w:val="0"/>
          <w:numId w:val="9"/>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введення посади спеціаліста з розвитку підприємництва та інвестицій в ОМС чи радника міського голови з питань підтримки бізнесу;</w:t>
      </w:r>
    </w:p>
    <w:p w:rsidR="003658EC" w:rsidRDefault="009D4FF0">
      <w:pPr>
        <w:numPr>
          <w:ilvl w:val="0"/>
          <w:numId w:val="9"/>
        </w:numPr>
        <w:spacing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підтримка бізнесу, який працевлаштовує молодь 14-18 років та молодих людей з інвалідністю.</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Очікувані результати до 2035 року:</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До 2035 року Тростянець має стати містом, що забезпечує молодим спеціалістам, підліткам та внутрішньо переміщеним особам повноцінну траєкторію кар’єрного зростання. Прагнемо перетворити громаду на майданчик, де якісна профорієнтація переходить у конкурентне працевлаштування, а підтримка місцевої влади стає фундаментом для інноваційного та соціально відповідального бізнесу.</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Ми будуємо молодіжну екосистему за трьома векторами:</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ПЕРСПЕКТИВНІСТЬ:</w:t>
      </w:r>
      <w:r>
        <w:rPr>
          <w:rFonts w:ascii="Times New Roman" w:eastAsia="Times New Roman" w:hAnsi="Times New Roman" w:cs="Times New Roman"/>
          <w:sz w:val="28"/>
          <w:szCs w:val="28"/>
        </w:rPr>
        <w:t xml:space="preserve"> створення середовища менторства та безперервної неформальної освіти. Через МЦ “КОРОБКА”, “Майстерню професій” та курси іноземних мов ми готуємо молодь до викликів сучасного світу. Очікуємо щорічне залучення молодих людей до курсів іноземних мов, SMM, цифрової грамотності, проведення регулярних молодіжних обмінів та стажувань.</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ПРАЦЬОВИТІСТЬ:</w:t>
      </w:r>
      <w:r>
        <w:rPr>
          <w:rFonts w:ascii="Times New Roman" w:eastAsia="Times New Roman" w:hAnsi="Times New Roman" w:cs="Times New Roman"/>
          <w:sz w:val="28"/>
          <w:szCs w:val="28"/>
        </w:rPr>
        <w:t xml:space="preserve"> впровадження програм підтримки молодих спеціалістів, розвиток коворкінгів та створення умов для безпечного працевлаштування підлітків 14-18 років. Особлива увага приділяється професійній адаптації ветеранів, жінок після декрету та людей з інвалідністю. Створення мережі неформальної освіти дозволить молоді бути гнучкими </w:t>
      </w:r>
      <w:proofErr w:type="gramStart"/>
      <w:r>
        <w:rPr>
          <w:rFonts w:ascii="Times New Roman" w:eastAsia="Times New Roman" w:hAnsi="Times New Roman" w:cs="Times New Roman"/>
          <w:sz w:val="28"/>
          <w:szCs w:val="28"/>
        </w:rPr>
        <w:t>на ринку</w:t>
      </w:r>
      <w:proofErr w:type="gramEnd"/>
      <w:r>
        <w:rPr>
          <w:rFonts w:ascii="Times New Roman" w:eastAsia="Times New Roman" w:hAnsi="Times New Roman" w:cs="Times New Roman"/>
          <w:sz w:val="28"/>
          <w:szCs w:val="28"/>
        </w:rPr>
        <w:t xml:space="preserve"> праці, розвивати soft skills (комунікабельність, лідерство, фінансова грамотність тощо) та зменшити мовний бар’єр для виходу на міжнародні ринки фрілансу та партнерства.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ПІДПРИЄМНИЦТВО:</w:t>
      </w:r>
      <w:r>
        <w:rPr>
          <w:rFonts w:ascii="Times New Roman" w:eastAsia="Times New Roman" w:hAnsi="Times New Roman" w:cs="Times New Roman"/>
          <w:sz w:val="28"/>
          <w:szCs w:val="28"/>
        </w:rPr>
        <w:t xml:space="preserve"> розвиток бізнес-культури через запуск роботи міського Бізнес хабу, запровадження грантових програм та навчання фінансовій грамотності. Ми прагнемо, щоб бренд «зроблено в Тростянці» став символом якості та успіху молодих стартапів.</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Завдяки роботі “Центру підтримки бізнесу” та Бізнес хабу м.Тростянець має стати магнітом для молодих інноваторів. За 10 років вбачаємо збільшення кількості молодіжних ФОП;</w:t>
      </w:r>
      <w:r>
        <w:rPr>
          <w:rFonts w:ascii="Times New Roman" w:eastAsia="Times New Roman" w:hAnsi="Times New Roman" w:cs="Times New Roman"/>
          <w:color w:val="FF0000"/>
          <w:sz w:val="28"/>
          <w:szCs w:val="28"/>
        </w:rPr>
        <w:t xml:space="preserve"> </w:t>
      </w:r>
      <w:r>
        <w:rPr>
          <w:rFonts w:ascii="Times New Roman" w:eastAsia="Times New Roman" w:hAnsi="Times New Roman" w:cs="Times New Roman"/>
          <w:sz w:val="28"/>
          <w:szCs w:val="28"/>
        </w:rPr>
        <w:t>щорічний запуск стартапів через грантові програми; повне заповнення офісних майданчиків Бізнес хабу. Активна підтримка та розвиток бізнес-середовища призведе до появи спільноти активного бізнесу, інтегрованого у міжнародне партнерство міста, розвиток екологічного та зеленого туризму, як візитівки громади.</w:t>
      </w:r>
    </w:p>
    <w:p w:rsidR="003658EC" w:rsidRDefault="003658EC">
      <w:pPr>
        <w:spacing w:line="360" w:lineRule="auto"/>
        <w:ind w:firstLine="720"/>
        <w:jc w:val="both"/>
        <w:rPr>
          <w:rFonts w:ascii="Times New Roman" w:eastAsia="Times New Roman" w:hAnsi="Times New Roman" w:cs="Times New Roman"/>
          <w:sz w:val="28"/>
          <w:szCs w:val="28"/>
        </w:rPr>
      </w:pPr>
    </w:p>
    <w:p w:rsidR="003658EC" w:rsidRDefault="009D4FF0">
      <w:pPr>
        <w:spacing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ВЗАЄМОЗВ’ЯЗОК МОЛОДІЖНОЇ СТРАТЕГІЇ ТА НАЦІОНАЛЬНИХ І МІЖНАРОДНИХ МОЛОДІЖНИХ СТРАТЕГІЙ</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Національна молодіжна стратегія до 2030</w:t>
      </w:r>
      <w:r>
        <w:rPr>
          <w:rFonts w:ascii="Times New Roman" w:eastAsia="Times New Roman" w:hAnsi="Times New Roman" w:cs="Times New Roman"/>
          <w:sz w:val="28"/>
          <w:szCs w:val="28"/>
        </w:rPr>
        <w:t xml:space="preserve"> року покликана створити умови для самореалізації молоді в Україні, зробивши її конкурентоспроможною, економічно активною, свідомою та відповідальною, а також забезпечити можливості для її розвитку та інтеграції у суспільство, формуючи стійкість та приналежність до країни в умовах викликів сучасності. Ці важливі пріоритети знайшли відображення у Молодіжній стратегії Тростянця 2035:</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БЕЗПЕЧНИЙ ТРОСТЯНЕЦЬ / РОЗВИНЕНИЙ ТА БЕЗБАР’ЄРНИЙ ТРОСТЯНЕЦЬ – © </w:t>
      </w:r>
      <w:r>
        <w:rPr>
          <w:rFonts w:ascii="Times New Roman" w:eastAsia="Times New Roman" w:hAnsi="Times New Roman" w:cs="Times New Roman"/>
          <w:i/>
          <w:iCs/>
          <w:sz w:val="28"/>
          <w:szCs w:val="28"/>
        </w:rPr>
        <w:t xml:space="preserve">“Підвищення безпечності середовища та посилення життєстійкості молоді”. </w:t>
      </w:r>
      <w:r>
        <w:rPr>
          <w:rFonts w:ascii="Times New Roman" w:eastAsia="Times New Roman" w:hAnsi="Times New Roman" w:cs="Times New Roman"/>
          <w:sz w:val="28"/>
          <w:szCs w:val="28"/>
        </w:rPr>
        <w:t xml:space="preserve">Обидві стратегії спрямовані на підвищення життєстійкості молоді та створення безпечного середовища, а також зростання доступності інфраструктури.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СПОРТИВНИЙ ТРОСТЯНЕЦЬ – © </w:t>
      </w:r>
      <w:r>
        <w:rPr>
          <w:rFonts w:ascii="Times New Roman" w:eastAsia="Times New Roman" w:hAnsi="Times New Roman" w:cs="Times New Roman"/>
          <w:i/>
          <w:iCs/>
          <w:sz w:val="28"/>
          <w:szCs w:val="28"/>
        </w:rPr>
        <w:t xml:space="preserve">“Формування навичок здорового способу життя, розвиток фізичної культури, культури здорового харчування та психогігієни”. </w:t>
      </w:r>
      <w:r>
        <w:rPr>
          <w:rFonts w:ascii="Times New Roman" w:eastAsia="Times New Roman" w:hAnsi="Times New Roman" w:cs="Times New Roman"/>
          <w:sz w:val="28"/>
          <w:szCs w:val="28"/>
        </w:rPr>
        <w:t>Молостратегія підтримує національні цілі щодо здорового способу життя через проєкти з популяризації різних видів спорту та створення відповідних умов та інфраструктури.</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ПІДПРИЄМНИЦЬКИЙ ТРОСТЯНЕЦЬ / ПРАЦЬОВИТИЙ ТРОСТЯНЕЦЬ / ПЕРСПЕКТИВНИЙ ТРОСТЯНЕЦЬ / ЕКОЛОГІЧНО СВІДОМИЙ ТРОСТЯНЕЦЬ – © </w:t>
      </w:r>
      <w:r>
        <w:rPr>
          <w:rFonts w:ascii="Times New Roman" w:eastAsia="Times New Roman" w:hAnsi="Times New Roman" w:cs="Times New Roman"/>
          <w:i/>
          <w:iCs/>
          <w:sz w:val="28"/>
          <w:szCs w:val="28"/>
        </w:rPr>
        <w:t>“Залучення молоді до участі у суспільному житті, підвищення її самостійності, конкурентоспроможності, формування у молоді громадянських компетентностей”</w:t>
      </w:r>
      <w:r>
        <w:rPr>
          <w:rFonts w:ascii="Times New Roman" w:eastAsia="Times New Roman" w:hAnsi="Times New Roman" w:cs="Times New Roman"/>
          <w:sz w:val="28"/>
          <w:szCs w:val="28"/>
        </w:rPr>
        <w:t xml:space="preserve">. В обох стратегіях акцент робиться на залученні молоді до громадянської активності, розвиток бізнес-навичок молодих людей та стимулювання створення підприємництва.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 xml:space="preserve">Європейська молодіжна стратегія 2019-2027 </w:t>
      </w:r>
      <w:r>
        <w:rPr>
          <w:rFonts w:ascii="Times New Roman" w:eastAsia="Times New Roman" w:hAnsi="Times New Roman" w:cs="Times New Roman"/>
          <w:sz w:val="28"/>
          <w:szCs w:val="28"/>
        </w:rPr>
        <w:t>націлена посилити співпрацю у сфері молоді, залучаючи молодих людей до європейського демократичного життя, підтримуючи їхню соціальну активність та надаючи ресурси для повноцінної участі в суспільстві, із зосередженням на «11 європейських молодіжних цілях» та покращенні неформальної освіти і молодіжної роботи. Аналіз стратегій показує взаємозв’язок у наступних напрямках.</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БЕЗПЕЧНИЙ ТРОСТЯНЕЦЬ/СПОРТИВНИЙ ТРОСТЯНЕЦЬ – © </w:t>
      </w:r>
      <w:r>
        <w:rPr>
          <w:rFonts w:ascii="Times New Roman" w:eastAsia="Times New Roman" w:hAnsi="Times New Roman" w:cs="Times New Roman"/>
          <w:i/>
          <w:iCs/>
          <w:sz w:val="28"/>
          <w:szCs w:val="28"/>
        </w:rPr>
        <w:t>“Ментальне здоров’я та благополуччя”</w:t>
      </w:r>
      <w:r>
        <w:rPr>
          <w:rFonts w:ascii="Times New Roman" w:eastAsia="Times New Roman" w:hAnsi="Times New Roman" w:cs="Times New Roman"/>
          <w:sz w:val="28"/>
          <w:szCs w:val="28"/>
        </w:rPr>
        <w:t xml:space="preserve">. Обидві стратегії спрямовані на підтримку безпеки, ментального та фізичного здоров’я молоді через освітні кампанії, консультації та спортивні програми.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РОЗВИНЕНИЙ ТА БЕЗБАР’ЄРНИЙ ТРОСТЯНЕЦЬ / ІНКЛЮЗИВНИЙ ТРОСТЯНЕЦЬ – © </w:t>
      </w:r>
      <w:r>
        <w:rPr>
          <w:rFonts w:ascii="Times New Roman" w:eastAsia="Times New Roman" w:hAnsi="Times New Roman" w:cs="Times New Roman"/>
          <w:i/>
          <w:iCs/>
          <w:sz w:val="28"/>
          <w:szCs w:val="28"/>
        </w:rPr>
        <w:t>“Інклюзивні суспільства, гендерна рівність”</w:t>
      </w:r>
      <w:r>
        <w:rPr>
          <w:rFonts w:ascii="Times New Roman" w:eastAsia="Times New Roman" w:hAnsi="Times New Roman" w:cs="Times New Roman"/>
          <w:sz w:val="28"/>
          <w:szCs w:val="28"/>
        </w:rPr>
        <w:t>. Тростянецька стратегія відображає європейські пріоритети щодо розвитку інклюзивності, підтримки гендерної рівності та боротьби з дискримінацією в суспільстві через розвиток безбар’єрної та інклюзивної інфраструктури.</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ПРАЦЬОВИТИЙ ТРОСТЯНЕЦЬ / ПЕРСПЕКТИВНИЙ ТРОСТЯНЕЦЬ – © </w:t>
      </w:r>
      <w:r>
        <w:rPr>
          <w:rFonts w:ascii="Times New Roman" w:eastAsia="Times New Roman" w:hAnsi="Times New Roman" w:cs="Times New Roman"/>
          <w:i/>
          <w:iCs/>
          <w:sz w:val="28"/>
          <w:szCs w:val="28"/>
        </w:rPr>
        <w:t>“Якісна освіта, якісне навчання, якісне працевлаштування для всіх”</w:t>
      </w:r>
      <w:r>
        <w:rPr>
          <w:rFonts w:ascii="Times New Roman" w:eastAsia="Times New Roman" w:hAnsi="Times New Roman" w:cs="Times New Roman"/>
          <w:sz w:val="28"/>
          <w:szCs w:val="28"/>
        </w:rPr>
        <w:t xml:space="preserve">. Обидві стратегії передбачають створення умов для розвитку якісної освіти усіх рівнів та кар’єрних можливостей для молоді через стажування, перекваліфікацію та підвищення конкурентоспроможності </w:t>
      </w:r>
      <w:proofErr w:type="gramStart"/>
      <w:r>
        <w:rPr>
          <w:rFonts w:ascii="Times New Roman" w:eastAsia="Times New Roman" w:hAnsi="Times New Roman" w:cs="Times New Roman"/>
          <w:sz w:val="28"/>
          <w:szCs w:val="28"/>
        </w:rPr>
        <w:t>на ринку</w:t>
      </w:r>
      <w:proofErr w:type="gramEnd"/>
      <w:r>
        <w:rPr>
          <w:rFonts w:ascii="Times New Roman" w:eastAsia="Times New Roman" w:hAnsi="Times New Roman" w:cs="Times New Roman"/>
          <w:sz w:val="28"/>
          <w:szCs w:val="28"/>
        </w:rPr>
        <w:t xml:space="preserve"> праці. </w:t>
      </w:r>
    </w:p>
    <w:p w:rsidR="003658EC" w:rsidRDefault="009D4FF0">
      <w:pPr>
        <w:spacing w:line="360" w:lineRule="auto"/>
        <w:ind w:firstLine="720"/>
        <w:jc w:val="both"/>
        <w:rPr>
          <w:i/>
          <w:iCs/>
          <w:color w:val="FF0000"/>
          <w:sz w:val="28"/>
          <w:szCs w:val="28"/>
        </w:rPr>
      </w:pPr>
      <w:r>
        <w:rPr>
          <w:rFonts w:ascii="Times New Roman" w:eastAsia="Times New Roman" w:hAnsi="Times New Roman" w:cs="Times New Roman"/>
          <w:sz w:val="28"/>
          <w:szCs w:val="28"/>
        </w:rPr>
        <w:t xml:space="preserve">- ЗЕЛЕНИЙ ТА ЧИСТИЙ ТРОСТЯНЕЦЬ – © </w:t>
      </w:r>
      <w:r>
        <w:rPr>
          <w:rFonts w:ascii="Times New Roman" w:eastAsia="Times New Roman" w:hAnsi="Times New Roman" w:cs="Times New Roman"/>
          <w:i/>
          <w:iCs/>
          <w:sz w:val="28"/>
          <w:szCs w:val="28"/>
        </w:rPr>
        <w:t>“Стала зелена Європа”</w:t>
      </w:r>
      <w:r>
        <w:rPr>
          <w:rFonts w:ascii="Times New Roman" w:eastAsia="Times New Roman" w:hAnsi="Times New Roman" w:cs="Times New Roman"/>
          <w:sz w:val="28"/>
          <w:szCs w:val="28"/>
        </w:rPr>
        <w:t>. Обидві стратегії зосереджені на екологічних ініціативах, спрямованих на збереження довкілля, сталу міську мобільність та сталий розвиток, залучаючи молодь до екологічних проєктів та програм з озеленення.</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i/>
          <w:iCs/>
          <w:sz w:val="28"/>
          <w:szCs w:val="28"/>
        </w:rPr>
        <w:t>Молодіжна стратегія ООН “Молодь - 2030”</w:t>
      </w:r>
      <w:r>
        <w:rPr>
          <w:rFonts w:ascii="Times New Roman" w:eastAsia="Times New Roman" w:hAnsi="Times New Roman" w:cs="Times New Roman"/>
          <w:sz w:val="28"/>
          <w:szCs w:val="28"/>
        </w:rPr>
        <w:t xml:space="preserve"> покликана створити світ, де права молоді захищені, її потенціал розкритий, а здатність до позитивних змін визнається, підтримуючи досягнення Цілей сталого розвитку, що включає розвиток життєстійкості, розширення можливостей для самореалізації та активної участі в житті суспільства.</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СПОРТИВНИЙ ТРОСТЯНЕЦЬ / ПЕРСПЕКТИВНИЙ ТРОСТЯНЕЦЬ</w:t>
      </w:r>
      <w:r>
        <w:rPr>
          <w:rFonts w:ascii="Times New Roman" w:eastAsia="Times New Roman" w:hAnsi="Times New Roman" w:cs="Times New Roman"/>
          <w:b/>
          <w:bCs/>
          <w:sz w:val="28"/>
          <w:szCs w:val="28"/>
        </w:rPr>
        <w:t xml:space="preserve"> </w:t>
      </w:r>
      <w:r>
        <w:rPr>
          <w:rFonts w:ascii="Times New Roman" w:eastAsia="Times New Roman" w:hAnsi="Times New Roman" w:cs="Times New Roman"/>
          <w:sz w:val="28"/>
          <w:szCs w:val="28"/>
        </w:rPr>
        <w:t xml:space="preserve">– © </w:t>
      </w:r>
      <w:r>
        <w:rPr>
          <w:rFonts w:ascii="Times New Roman" w:eastAsia="Times New Roman" w:hAnsi="Times New Roman" w:cs="Times New Roman"/>
          <w:i/>
          <w:iCs/>
          <w:sz w:val="28"/>
          <w:szCs w:val="28"/>
        </w:rPr>
        <w:t>“Доступ до якісної освіти та охорони здоров’я”</w:t>
      </w:r>
      <w:r>
        <w:rPr>
          <w:rFonts w:ascii="Times New Roman" w:eastAsia="Times New Roman" w:hAnsi="Times New Roman" w:cs="Times New Roman"/>
          <w:sz w:val="28"/>
          <w:szCs w:val="28"/>
        </w:rPr>
        <w:t xml:space="preserve">. Обидві стратегії пріоритезують забезпечення молоді доступом до якісної освіти та охорони здоров’я, а також підтримки фізичного та ментального благополуччя.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ПІДПРИЄМНИЦЬКИЙ ТРОСТЯНЕЦЬ / ПРАЦЬОВИТИЙ ТРОСТЯНЕЦЬ / ПЕРСПЕКТИВНИЙ ТРОСТЯНЕЦЬ – © </w:t>
      </w:r>
      <w:r>
        <w:rPr>
          <w:rFonts w:ascii="Times New Roman" w:eastAsia="Times New Roman" w:hAnsi="Times New Roman" w:cs="Times New Roman"/>
          <w:i/>
          <w:iCs/>
          <w:sz w:val="28"/>
          <w:szCs w:val="28"/>
        </w:rPr>
        <w:t>“Розширення економічних можливостей через гідну працю”</w:t>
      </w:r>
      <w:r>
        <w:rPr>
          <w:rFonts w:ascii="Times New Roman" w:eastAsia="Times New Roman" w:hAnsi="Times New Roman" w:cs="Times New Roman"/>
          <w:sz w:val="28"/>
          <w:szCs w:val="28"/>
        </w:rPr>
        <w:t xml:space="preserve">. Стратегії повністю співвідносяться у контексті створення можливостей для молоді у сфері працевлаштування, підприємництва та розвитку професійних навичок.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ІНКЛЮЗИВНИЙ ТРОСТЯНЕЦЬ</w:t>
      </w:r>
      <w:r>
        <w:rPr>
          <w:rFonts w:ascii="Times New Roman" w:eastAsia="Times New Roman" w:hAnsi="Times New Roman" w:cs="Times New Roman"/>
          <w:b/>
          <w:bCs/>
          <w:sz w:val="28"/>
          <w:szCs w:val="28"/>
        </w:rPr>
        <w:t xml:space="preserve"> </w:t>
      </w:r>
      <w:r>
        <w:rPr>
          <w:rFonts w:ascii="Times New Roman" w:eastAsia="Times New Roman" w:hAnsi="Times New Roman" w:cs="Times New Roman"/>
          <w:sz w:val="28"/>
          <w:szCs w:val="28"/>
        </w:rPr>
        <w:t xml:space="preserve">/ РОЗВИНЕНИЙ ТА БЕЗБАР’ЄРНИЙ ТРОСТЯНЕЦЬ – © </w:t>
      </w:r>
      <w:r>
        <w:rPr>
          <w:rFonts w:ascii="Times New Roman" w:eastAsia="Times New Roman" w:hAnsi="Times New Roman" w:cs="Times New Roman"/>
          <w:i/>
          <w:iCs/>
          <w:sz w:val="28"/>
          <w:szCs w:val="28"/>
        </w:rPr>
        <w:t>“Молодь та права людини”.</w:t>
      </w:r>
      <w:r>
        <w:rPr>
          <w:rFonts w:ascii="Times New Roman" w:eastAsia="Times New Roman" w:hAnsi="Times New Roman" w:cs="Times New Roman"/>
          <w:sz w:val="28"/>
          <w:szCs w:val="28"/>
        </w:rPr>
        <w:t xml:space="preserve"> Стратегії збігаються у своїй меті щодо захисту прав молоді, боротьби з дискримінацією та просування рівності.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БЕЗПЕЧНИЙ ТРОСТЯНЕЦЬ – © </w:t>
      </w:r>
      <w:r>
        <w:rPr>
          <w:rFonts w:ascii="Times New Roman" w:eastAsia="Times New Roman" w:hAnsi="Times New Roman" w:cs="Times New Roman"/>
          <w:i/>
          <w:iCs/>
          <w:sz w:val="28"/>
          <w:szCs w:val="28"/>
        </w:rPr>
        <w:t>“Мир і зміцнення життєстійкості”</w:t>
      </w:r>
      <w:r>
        <w:rPr>
          <w:rFonts w:ascii="Times New Roman" w:eastAsia="Times New Roman" w:hAnsi="Times New Roman" w:cs="Times New Roman"/>
          <w:sz w:val="28"/>
          <w:szCs w:val="28"/>
        </w:rPr>
        <w:t>. Цілі обох стратегій спрямовані на забезпечення безпеки, зміцнення життєстійкості молоді та підтримку їхньої ролі у забезпеченні справедливого миру у світі.</w:t>
      </w:r>
    </w:p>
    <w:p w:rsidR="003658EC" w:rsidRDefault="003658EC">
      <w:pPr>
        <w:widowControl w:val="0"/>
        <w:spacing w:line="360" w:lineRule="auto"/>
        <w:ind w:firstLine="720"/>
        <w:jc w:val="both"/>
        <w:rPr>
          <w:rFonts w:ascii="Times New Roman" w:eastAsia="Times New Roman" w:hAnsi="Times New Roman" w:cs="Times New Roman"/>
          <w:sz w:val="28"/>
          <w:szCs w:val="28"/>
        </w:rPr>
      </w:pPr>
    </w:p>
    <w:p w:rsidR="003658EC" w:rsidRDefault="009D4FF0">
      <w:pPr>
        <w:widowControl w:val="0"/>
        <w:spacing w:line="360" w:lineRule="auto"/>
        <w:ind w:firstLine="720"/>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РЕАЛІЗАЦІЯ МОЛОДІЖНОЇ СТРАТЕГІЇ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Тростянець 2035 – це місто, де кожна молода людина має простір для впевненого старту, професійного зростання та безпечного життя. Ця Стратегія є дорожньою картою перетворення громади на інноваційний, інклюзивний та екологічно свідомий центр, що базується на синергії молоді, влади та бізнесу. Ми будуємо місто, з якого не хочеться виїжджати та в яке мріють повернутися.</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Координація, моніторинг та виконання пунктів Молодіжної стратегії покладені на відділ культури, туризму, молоді та спорту Тростянецької міської ради та його профільні установи, заклади, що дотичні до роботи з молоддю.</w:t>
      </w:r>
    </w:p>
    <w:p w:rsidR="003658EC" w:rsidRDefault="003658EC">
      <w:pPr>
        <w:pStyle w:val="3"/>
        <w:keepNext w:val="0"/>
        <w:keepLines w:val="0"/>
        <w:spacing w:before="280" w:line="360" w:lineRule="auto"/>
        <w:ind w:firstLine="720"/>
        <w:rPr>
          <w:rFonts w:ascii="Times New Roman" w:eastAsia="Times New Roman" w:hAnsi="Times New Roman" w:cs="Times New Roman"/>
          <w:b/>
          <w:bCs/>
          <w:color w:val="000000"/>
        </w:rPr>
      </w:pPr>
      <w:bookmarkStart w:id="7" w:name="_h5dk2bpxb717" w:colFirst="0" w:colLast="0"/>
      <w:bookmarkEnd w:id="7"/>
    </w:p>
    <w:p w:rsidR="003658EC" w:rsidRDefault="009D4FF0">
      <w:pPr>
        <w:pStyle w:val="3"/>
        <w:keepNext w:val="0"/>
        <w:keepLines w:val="0"/>
        <w:spacing w:before="280" w:line="360" w:lineRule="auto"/>
        <w:ind w:firstLine="720"/>
        <w:rPr>
          <w:rFonts w:ascii="Times New Roman" w:eastAsia="Times New Roman" w:hAnsi="Times New Roman" w:cs="Times New Roman"/>
        </w:rPr>
      </w:pPr>
      <w:bookmarkStart w:id="8" w:name="_e7jwn81zryso" w:colFirst="0" w:colLast="0"/>
      <w:bookmarkEnd w:id="8"/>
      <w:r>
        <w:rPr>
          <w:rFonts w:ascii="Times New Roman" w:eastAsia="Times New Roman" w:hAnsi="Times New Roman" w:cs="Times New Roman"/>
          <w:b/>
          <w:bCs/>
          <w:color w:val="000000"/>
        </w:rPr>
        <w:t>ПЛАН РЕАЛІЗАЦІЇ СТРАТЕГІЇ, ОЦІНКА ТА КОРЕГУВАННЯ</w:t>
      </w:r>
    </w:p>
    <w:p w:rsidR="003658EC" w:rsidRDefault="009D4FF0">
      <w:pPr>
        <w:spacing w:line="360" w:lineRule="auto"/>
        <w:ind w:firstLine="720"/>
        <w:jc w:val="both"/>
        <w:rPr>
          <w:sz w:val="28"/>
          <w:szCs w:val="28"/>
        </w:rPr>
      </w:pPr>
      <w:r>
        <w:rPr>
          <w:rFonts w:ascii="Times New Roman" w:eastAsia="Times New Roman" w:hAnsi="Times New Roman" w:cs="Times New Roman"/>
          <w:sz w:val="28"/>
          <w:szCs w:val="28"/>
        </w:rPr>
        <w:t>Реалізація Молодіжної стратегії включає безперервний цикл планування, виконання, моніторингу та вдосконалення. Для забезпечення ефективності цього процесу впроваджується механізм щорічного планування, моніторингу та звітування. Для деталізації стратегічних цілей відділ культури, туризму, молоді та спорту Тростянецької міської ради щороку до 1 грудня готує План реалізації Молостратегії на наступний календарний рік. У ньому має міститися перелік пріоритетних проєктів, графік їх виконання, відповідальні підрозділи та ключові показники ефективності (КПЕ). План є відкритим документом, який оприлюднюється на офіційних ресурсах міської ради та обговорюється з молодіжним активом міста (зокрема на базі МЦ «КОРОБКА») перед його затвердженням</w:t>
      </w:r>
      <w:r>
        <w:rPr>
          <w:sz w:val="28"/>
          <w:szCs w:val="28"/>
        </w:rPr>
        <w:t>.</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Типова форма плану:</w:t>
      </w:r>
    </w:p>
    <w:tbl>
      <w:tblPr>
        <w:tblStyle w:val="a5"/>
        <w:tblW w:w="90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60"/>
        <w:gridCol w:w="2115"/>
        <w:gridCol w:w="2385"/>
        <w:gridCol w:w="1545"/>
        <w:gridCol w:w="2340"/>
      </w:tblGrid>
      <w:tr w:rsidR="003658EC">
        <w:tc>
          <w:tcPr>
            <w:tcW w:w="660" w:type="dxa"/>
            <w:shd w:val="clear" w:color="auto" w:fill="auto"/>
            <w:tcMar>
              <w:top w:w="100" w:type="dxa"/>
              <w:left w:w="100" w:type="dxa"/>
              <w:bottom w:w="100" w:type="dxa"/>
              <w:right w:w="100" w:type="dxa"/>
            </w:tcMar>
          </w:tcPr>
          <w:p w:rsidR="003658EC" w:rsidRDefault="009D4FF0">
            <w:pPr>
              <w:widowControl w:val="0"/>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2115" w:type="dxa"/>
            <w:shd w:val="clear" w:color="auto" w:fill="auto"/>
            <w:tcMar>
              <w:top w:w="100" w:type="dxa"/>
              <w:left w:w="100" w:type="dxa"/>
              <w:bottom w:w="100" w:type="dxa"/>
              <w:right w:w="100" w:type="dxa"/>
            </w:tcMar>
          </w:tcPr>
          <w:p w:rsidR="003658EC" w:rsidRDefault="009D4FF0">
            <w:pPr>
              <w:widowControl w:val="0"/>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Ціль</w:t>
            </w:r>
          </w:p>
        </w:tc>
        <w:tc>
          <w:tcPr>
            <w:tcW w:w="2385" w:type="dxa"/>
            <w:shd w:val="clear" w:color="auto" w:fill="auto"/>
            <w:tcMar>
              <w:top w:w="100" w:type="dxa"/>
              <w:left w:w="100" w:type="dxa"/>
              <w:bottom w:w="100" w:type="dxa"/>
              <w:right w:w="100" w:type="dxa"/>
            </w:tcMar>
          </w:tcPr>
          <w:p w:rsidR="003658EC" w:rsidRDefault="009D4FF0">
            <w:pPr>
              <w:widowControl w:val="0"/>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Проєкт</w:t>
            </w:r>
          </w:p>
        </w:tc>
        <w:tc>
          <w:tcPr>
            <w:tcW w:w="1545" w:type="dxa"/>
            <w:shd w:val="clear" w:color="auto" w:fill="auto"/>
            <w:tcMar>
              <w:top w:w="100" w:type="dxa"/>
              <w:left w:w="100" w:type="dxa"/>
              <w:bottom w:w="100" w:type="dxa"/>
              <w:right w:w="100" w:type="dxa"/>
            </w:tcMar>
          </w:tcPr>
          <w:p w:rsidR="003658EC" w:rsidRDefault="009D4FF0">
            <w:pPr>
              <w:widowControl w:val="0"/>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Виконавці</w:t>
            </w:r>
          </w:p>
        </w:tc>
        <w:tc>
          <w:tcPr>
            <w:tcW w:w="2340" w:type="dxa"/>
            <w:shd w:val="clear" w:color="auto" w:fill="auto"/>
            <w:tcMar>
              <w:top w:w="100" w:type="dxa"/>
              <w:left w:w="100" w:type="dxa"/>
              <w:bottom w:w="100" w:type="dxa"/>
              <w:right w:w="100" w:type="dxa"/>
            </w:tcMar>
          </w:tcPr>
          <w:p w:rsidR="003658EC" w:rsidRDefault="009D4FF0">
            <w:pPr>
              <w:widowControl w:val="0"/>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КПЕ</w:t>
            </w:r>
          </w:p>
        </w:tc>
      </w:tr>
      <w:tr w:rsidR="003658EC">
        <w:tc>
          <w:tcPr>
            <w:tcW w:w="660" w:type="dxa"/>
            <w:shd w:val="clear" w:color="auto" w:fill="auto"/>
            <w:tcMar>
              <w:top w:w="100" w:type="dxa"/>
              <w:left w:w="100" w:type="dxa"/>
              <w:bottom w:w="100" w:type="dxa"/>
              <w:right w:w="100" w:type="dxa"/>
            </w:tcMar>
          </w:tcPr>
          <w:p w:rsidR="003658EC" w:rsidRDefault="009D4FF0">
            <w:pPr>
              <w:widowControl w:val="0"/>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2115" w:type="dxa"/>
            <w:shd w:val="clear" w:color="auto" w:fill="auto"/>
            <w:tcMar>
              <w:top w:w="100" w:type="dxa"/>
              <w:left w:w="100" w:type="dxa"/>
              <w:bottom w:w="100" w:type="dxa"/>
              <w:right w:w="100" w:type="dxa"/>
            </w:tcMar>
          </w:tcPr>
          <w:p w:rsidR="003658EC" w:rsidRDefault="009D4FF0">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ПРАЦЬОВИТИЙ ТРОСТЯНЕЦЬ</w:t>
            </w:r>
          </w:p>
        </w:tc>
        <w:tc>
          <w:tcPr>
            <w:tcW w:w="2385" w:type="dxa"/>
            <w:shd w:val="clear" w:color="auto" w:fill="auto"/>
            <w:tcMar>
              <w:top w:w="100" w:type="dxa"/>
              <w:left w:w="100" w:type="dxa"/>
              <w:bottom w:w="100" w:type="dxa"/>
              <w:right w:w="100" w:type="dxa"/>
            </w:tcMar>
          </w:tcPr>
          <w:p w:rsidR="003658EC" w:rsidRDefault="009D4FF0">
            <w:pPr>
              <w:widowControl w:val="0"/>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Екскурсії на місцеві підприємства для молоді 14-18 рр.</w:t>
            </w:r>
          </w:p>
        </w:tc>
        <w:tc>
          <w:tcPr>
            <w:tcW w:w="1545" w:type="dxa"/>
            <w:shd w:val="clear" w:color="auto" w:fill="auto"/>
            <w:tcMar>
              <w:top w:w="100" w:type="dxa"/>
              <w:left w:w="100" w:type="dxa"/>
              <w:bottom w:w="100" w:type="dxa"/>
              <w:right w:w="100" w:type="dxa"/>
            </w:tcMar>
          </w:tcPr>
          <w:p w:rsidR="003658EC" w:rsidRDefault="009D4FF0">
            <w:pPr>
              <w:widowControl w:val="0"/>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МЦ “КОРОБКА”</w:t>
            </w:r>
          </w:p>
        </w:tc>
        <w:tc>
          <w:tcPr>
            <w:tcW w:w="2340" w:type="dxa"/>
            <w:shd w:val="clear" w:color="auto" w:fill="auto"/>
            <w:tcMar>
              <w:top w:w="100" w:type="dxa"/>
              <w:left w:w="100" w:type="dxa"/>
              <w:bottom w:w="100" w:type="dxa"/>
              <w:right w:w="100" w:type="dxa"/>
            </w:tcMar>
          </w:tcPr>
          <w:p w:rsidR="003658EC" w:rsidRDefault="009D4FF0">
            <w:pPr>
              <w:widowControl w:val="0"/>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50 учнів 9-11 кл. відвідали екскурсії</w:t>
            </w:r>
          </w:p>
        </w:tc>
      </w:tr>
    </w:tbl>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За підсумками кожного року реалізації відділ культури, туризму, молоді та спорту Тростянецької міської ради спільно з командою МЦ “КОРОБКА” готує Річний звіт про реалізацію Молостратегії до 20 січня наступного року. Звіт базується на аналізі виконання KПЕ, визначених у річному Плані, та загальному прогресі досягнення цілей Стратегії.</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об’єктивної оцінки раз на два роки в громаді проводяться комплексні кількісні та якісні дослідження потреб молоді. Результати цих опитувань порівнюються з базовими показниками, цілями і напрямами дій 2026 року, що дозволяє виміряти реальний вплив Стратегії на рівень задоволеності молоді життям у громаді чи внести корективи.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Стратегія має адаптуватися до змін у країні та громаді: результатів річних звітів, соціологічних досліджень, форс-мажорних обставин (безпекова ситуація) або появи нових запитів від молоді. Корегування Стратегії відбуваються виключно через публічні консультації. Відділ культури, туризму, молоді та спорту Тростянецької міської ради організовує відкриті зустрічі у форматі «світового кафе», форумів або цифрових опитувань, до яких залучаються представники молодіжних організацій, ВПО, студентського та учнівського самоврядування, бізнесу та активної громадськості. На їх основі формуються пропозиції до внесення змін у Стратегію.</w:t>
      </w:r>
    </w:p>
    <w:p w:rsidR="009D4FF0" w:rsidRPr="007D7165" w:rsidRDefault="009D4FF0" w:rsidP="007D7165">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ФІНАНСУВАННЯ РЕАЛІЗАЦІЇ МОЛО</w:t>
      </w:r>
      <w:r w:rsidR="00073C5E">
        <w:rPr>
          <w:rFonts w:ascii="Times New Roman" w:eastAsia="Times New Roman" w:hAnsi="Times New Roman" w:cs="Times New Roman"/>
          <w:b/>
          <w:bCs/>
          <w:sz w:val="28"/>
          <w:szCs w:val="28"/>
          <w:lang w:val="uk-UA"/>
        </w:rPr>
        <w:t xml:space="preserve">ДІЖНОЇ </w:t>
      </w:r>
      <w:r>
        <w:rPr>
          <w:rFonts w:ascii="Times New Roman" w:eastAsia="Times New Roman" w:hAnsi="Times New Roman" w:cs="Times New Roman"/>
          <w:b/>
          <w:bCs/>
          <w:sz w:val="28"/>
          <w:szCs w:val="28"/>
        </w:rPr>
        <w:t>СТРАТЕГІЇ</w:t>
      </w:r>
    </w:p>
    <w:tbl>
      <w:tblPr>
        <w:tblStyle w:val="a6"/>
        <w:tblW w:w="10858" w:type="dxa"/>
        <w:tblInd w:w="-856" w:type="dxa"/>
        <w:tblLook w:val="04A0" w:firstRow="1" w:lastRow="0" w:firstColumn="1" w:lastColumn="0" w:noHBand="0" w:noVBand="1"/>
      </w:tblPr>
      <w:tblGrid>
        <w:gridCol w:w="1439"/>
        <w:gridCol w:w="867"/>
        <w:gridCol w:w="848"/>
        <w:gridCol w:w="849"/>
        <w:gridCol w:w="848"/>
        <w:gridCol w:w="820"/>
        <w:gridCol w:w="848"/>
        <w:gridCol w:w="849"/>
        <w:gridCol w:w="799"/>
        <w:gridCol w:w="848"/>
        <w:gridCol w:w="849"/>
        <w:gridCol w:w="994"/>
      </w:tblGrid>
      <w:tr w:rsidR="007D7165" w:rsidRPr="00073C5E" w:rsidTr="007D7165">
        <w:tc>
          <w:tcPr>
            <w:tcW w:w="1439" w:type="dxa"/>
            <w:hideMark/>
          </w:tcPr>
          <w:p w:rsidR="00786960" w:rsidRPr="00786960" w:rsidRDefault="00786960" w:rsidP="00786960">
            <w:pPr>
              <w:jc w:val="center"/>
              <w:rPr>
                <w:rFonts w:ascii="Times New Roman" w:eastAsia="Times New Roman" w:hAnsi="Times New Roman" w:cs="Times New Roman"/>
                <w:b/>
                <w:bCs/>
                <w:sz w:val="20"/>
                <w:szCs w:val="20"/>
                <w:lang w:val="ru-RU"/>
              </w:rPr>
            </w:pPr>
            <w:r w:rsidRPr="00786960">
              <w:rPr>
                <w:rFonts w:ascii="Times New Roman" w:eastAsia="Times New Roman" w:hAnsi="Times New Roman" w:cs="Times New Roman"/>
                <w:b/>
                <w:bCs/>
                <w:sz w:val="20"/>
                <w:szCs w:val="20"/>
                <w:lang w:val="ru-RU"/>
              </w:rPr>
              <w:t>Напрямок</w:t>
            </w:r>
          </w:p>
        </w:tc>
        <w:tc>
          <w:tcPr>
            <w:tcW w:w="867" w:type="dxa"/>
            <w:hideMark/>
          </w:tcPr>
          <w:p w:rsidR="00786960" w:rsidRPr="00786960" w:rsidRDefault="00786960" w:rsidP="00786960">
            <w:pPr>
              <w:jc w:val="right"/>
              <w:rPr>
                <w:rFonts w:ascii="Times New Roman" w:eastAsia="Times New Roman" w:hAnsi="Times New Roman" w:cs="Times New Roman"/>
                <w:b/>
                <w:bCs/>
                <w:sz w:val="20"/>
                <w:szCs w:val="20"/>
                <w:lang w:val="ru-RU"/>
              </w:rPr>
            </w:pPr>
            <w:r w:rsidRPr="00786960">
              <w:rPr>
                <w:rFonts w:ascii="Times New Roman" w:eastAsia="Times New Roman" w:hAnsi="Times New Roman" w:cs="Times New Roman"/>
                <w:b/>
                <w:bCs/>
                <w:sz w:val="20"/>
                <w:szCs w:val="20"/>
                <w:lang w:val="ru-RU"/>
              </w:rPr>
              <w:t>2026</w:t>
            </w:r>
            <w:r w:rsidR="007D7165" w:rsidRPr="00073C5E">
              <w:rPr>
                <w:rFonts w:ascii="Times New Roman" w:eastAsia="Times New Roman" w:hAnsi="Times New Roman" w:cs="Times New Roman"/>
                <w:b/>
                <w:bCs/>
                <w:sz w:val="20"/>
                <w:szCs w:val="20"/>
                <w:lang w:val="ru-RU"/>
              </w:rPr>
              <w:t>, тис. грн.</w:t>
            </w:r>
          </w:p>
        </w:tc>
        <w:tc>
          <w:tcPr>
            <w:tcW w:w="848" w:type="dxa"/>
            <w:hideMark/>
          </w:tcPr>
          <w:p w:rsidR="00786960" w:rsidRPr="00786960" w:rsidRDefault="00786960" w:rsidP="00786960">
            <w:pPr>
              <w:jc w:val="right"/>
              <w:rPr>
                <w:rFonts w:ascii="Times New Roman" w:eastAsia="Times New Roman" w:hAnsi="Times New Roman" w:cs="Times New Roman"/>
                <w:b/>
                <w:bCs/>
                <w:sz w:val="20"/>
                <w:szCs w:val="20"/>
                <w:lang w:val="ru-RU"/>
              </w:rPr>
            </w:pPr>
            <w:r w:rsidRPr="00786960">
              <w:rPr>
                <w:rFonts w:ascii="Times New Roman" w:eastAsia="Times New Roman" w:hAnsi="Times New Roman" w:cs="Times New Roman"/>
                <w:b/>
                <w:bCs/>
                <w:sz w:val="20"/>
                <w:szCs w:val="20"/>
                <w:lang w:val="ru-RU"/>
              </w:rPr>
              <w:t>2027</w:t>
            </w:r>
            <w:r w:rsidR="007D7165" w:rsidRPr="00073C5E">
              <w:rPr>
                <w:rFonts w:ascii="Times New Roman" w:eastAsia="Times New Roman" w:hAnsi="Times New Roman" w:cs="Times New Roman"/>
                <w:b/>
                <w:bCs/>
                <w:sz w:val="20"/>
                <w:szCs w:val="20"/>
                <w:lang w:val="ru-RU"/>
              </w:rPr>
              <w:t>, тис. грн.</w:t>
            </w:r>
          </w:p>
        </w:tc>
        <w:tc>
          <w:tcPr>
            <w:tcW w:w="849" w:type="dxa"/>
            <w:hideMark/>
          </w:tcPr>
          <w:p w:rsidR="00786960" w:rsidRPr="00786960" w:rsidRDefault="00786960" w:rsidP="00786960">
            <w:pPr>
              <w:jc w:val="right"/>
              <w:rPr>
                <w:rFonts w:ascii="Times New Roman" w:eastAsia="Times New Roman" w:hAnsi="Times New Roman" w:cs="Times New Roman"/>
                <w:b/>
                <w:bCs/>
                <w:sz w:val="20"/>
                <w:szCs w:val="20"/>
                <w:lang w:val="ru-RU"/>
              </w:rPr>
            </w:pPr>
            <w:r w:rsidRPr="00786960">
              <w:rPr>
                <w:rFonts w:ascii="Times New Roman" w:eastAsia="Times New Roman" w:hAnsi="Times New Roman" w:cs="Times New Roman"/>
                <w:b/>
                <w:bCs/>
                <w:sz w:val="20"/>
                <w:szCs w:val="20"/>
                <w:lang w:val="ru-RU"/>
              </w:rPr>
              <w:t>2028</w:t>
            </w:r>
            <w:r w:rsidR="007D7165" w:rsidRPr="00073C5E">
              <w:rPr>
                <w:rFonts w:ascii="Times New Roman" w:eastAsia="Times New Roman" w:hAnsi="Times New Roman" w:cs="Times New Roman"/>
                <w:b/>
                <w:bCs/>
                <w:sz w:val="20"/>
                <w:szCs w:val="20"/>
                <w:lang w:val="ru-RU"/>
              </w:rPr>
              <w:t>, тис. грн.</w:t>
            </w:r>
          </w:p>
        </w:tc>
        <w:tc>
          <w:tcPr>
            <w:tcW w:w="848" w:type="dxa"/>
            <w:hideMark/>
          </w:tcPr>
          <w:p w:rsidR="00786960" w:rsidRPr="00786960" w:rsidRDefault="00786960" w:rsidP="00786960">
            <w:pPr>
              <w:jc w:val="right"/>
              <w:rPr>
                <w:rFonts w:ascii="Times New Roman" w:eastAsia="Times New Roman" w:hAnsi="Times New Roman" w:cs="Times New Roman"/>
                <w:b/>
                <w:bCs/>
                <w:sz w:val="20"/>
                <w:szCs w:val="20"/>
                <w:lang w:val="ru-RU"/>
              </w:rPr>
            </w:pPr>
            <w:r w:rsidRPr="00786960">
              <w:rPr>
                <w:rFonts w:ascii="Times New Roman" w:eastAsia="Times New Roman" w:hAnsi="Times New Roman" w:cs="Times New Roman"/>
                <w:b/>
                <w:bCs/>
                <w:sz w:val="20"/>
                <w:szCs w:val="20"/>
                <w:lang w:val="ru-RU"/>
              </w:rPr>
              <w:t>2029</w:t>
            </w:r>
            <w:r w:rsidR="007D7165" w:rsidRPr="00073C5E">
              <w:rPr>
                <w:rFonts w:ascii="Times New Roman" w:eastAsia="Times New Roman" w:hAnsi="Times New Roman" w:cs="Times New Roman"/>
                <w:b/>
                <w:bCs/>
                <w:sz w:val="20"/>
                <w:szCs w:val="20"/>
                <w:lang w:val="ru-RU"/>
              </w:rPr>
              <w:t>, тис. грн.</w:t>
            </w:r>
          </w:p>
        </w:tc>
        <w:tc>
          <w:tcPr>
            <w:tcW w:w="820" w:type="dxa"/>
            <w:hideMark/>
          </w:tcPr>
          <w:p w:rsidR="00786960" w:rsidRPr="00786960" w:rsidRDefault="00786960" w:rsidP="00786960">
            <w:pPr>
              <w:jc w:val="right"/>
              <w:rPr>
                <w:rFonts w:ascii="Times New Roman" w:eastAsia="Times New Roman" w:hAnsi="Times New Roman" w:cs="Times New Roman"/>
                <w:b/>
                <w:bCs/>
                <w:sz w:val="20"/>
                <w:szCs w:val="20"/>
                <w:lang w:val="ru-RU"/>
              </w:rPr>
            </w:pPr>
            <w:r w:rsidRPr="00786960">
              <w:rPr>
                <w:rFonts w:ascii="Times New Roman" w:eastAsia="Times New Roman" w:hAnsi="Times New Roman" w:cs="Times New Roman"/>
                <w:b/>
                <w:bCs/>
                <w:sz w:val="20"/>
                <w:szCs w:val="20"/>
                <w:lang w:val="ru-RU"/>
              </w:rPr>
              <w:t>2030</w:t>
            </w:r>
            <w:r w:rsidR="007D7165" w:rsidRPr="00073C5E">
              <w:rPr>
                <w:rFonts w:ascii="Times New Roman" w:eastAsia="Times New Roman" w:hAnsi="Times New Roman" w:cs="Times New Roman"/>
                <w:b/>
                <w:bCs/>
                <w:sz w:val="20"/>
                <w:szCs w:val="20"/>
                <w:lang w:val="ru-RU"/>
              </w:rPr>
              <w:t>, тис. грн.</w:t>
            </w:r>
          </w:p>
        </w:tc>
        <w:tc>
          <w:tcPr>
            <w:tcW w:w="848" w:type="dxa"/>
            <w:hideMark/>
          </w:tcPr>
          <w:p w:rsidR="00786960" w:rsidRPr="00786960" w:rsidRDefault="00786960" w:rsidP="00786960">
            <w:pPr>
              <w:jc w:val="right"/>
              <w:rPr>
                <w:rFonts w:ascii="Times New Roman" w:eastAsia="Times New Roman" w:hAnsi="Times New Roman" w:cs="Times New Roman"/>
                <w:b/>
                <w:bCs/>
                <w:sz w:val="20"/>
                <w:szCs w:val="20"/>
                <w:lang w:val="ru-RU"/>
              </w:rPr>
            </w:pPr>
            <w:r w:rsidRPr="00786960">
              <w:rPr>
                <w:rFonts w:ascii="Times New Roman" w:eastAsia="Times New Roman" w:hAnsi="Times New Roman" w:cs="Times New Roman"/>
                <w:b/>
                <w:bCs/>
                <w:sz w:val="20"/>
                <w:szCs w:val="20"/>
                <w:lang w:val="ru-RU"/>
              </w:rPr>
              <w:t>2031</w:t>
            </w:r>
            <w:r w:rsidR="007D7165" w:rsidRPr="00073C5E">
              <w:rPr>
                <w:rFonts w:ascii="Times New Roman" w:eastAsia="Times New Roman" w:hAnsi="Times New Roman" w:cs="Times New Roman"/>
                <w:b/>
                <w:bCs/>
                <w:sz w:val="20"/>
                <w:szCs w:val="20"/>
                <w:lang w:val="ru-RU"/>
              </w:rPr>
              <w:t>, тис. грн.</w:t>
            </w:r>
          </w:p>
        </w:tc>
        <w:tc>
          <w:tcPr>
            <w:tcW w:w="849" w:type="dxa"/>
            <w:hideMark/>
          </w:tcPr>
          <w:p w:rsidR="00786960" w:rsidRPr="00786960" w:rsidRDefault="00786960" w:rsidP="00786960">
            <w:pPr>
              <w:jc w:val="right"/>
              <w:rPr>
                <w:rFonts w:ascii="Times New Roman" w:eastAsia="Times New Roman" w:hAnsi="Times New Roman" w:cs="Times New Roman"/>
                <w:b/>
                <w:bCs/>
                <w:sz w:val="20"/>
                <w:szCs w:val="20"/>
                <w:lang w:val="ru-RU"/>
              </w:rPr>
            </w:pPr>
            <w:r w:rsidRPr="00786960">
              <w:rPr>
                <w:rFonts w:ascii="Times New Roman" w:eastAsia="Times New Roman" w:hAnsi="Times New Roman" w:cs="Times New Roman"/>
                <w:b/>
                <w:bCs/>
                <w:sz w:val="20"/>
                <w:szCs w:val="20"/>
                <w:lang w:val="ru-RU"/>
              </w:rPr>
              <w:t>2032</w:t>
            </w:r>
            <w:r w:rsidR="007D7165" w:rsidRPr="00073C5E">
              <w:rPr>
                <w:rFonts w:ascii="Times New Roman" w:eastAsia="Times New Roman" w:hAnsi="Times New Roman" w:cs="Times New Roman"/>
                <w:b/>
                <w:bCs/>
                <w:sz w:val="20"/>
                <w:szCs w:val="20"/>
                <w:lang w:val="ru-RU"/>
              </w:rPr>
              <w:t>, тис. грн.</w:t>
            </w:r>
          </w:p>
        </w:tc>
        <w:tc>
          <w:tcPr>
            <w:tcW w:w="799" w:type="dxa"/>
            <w:hideMark/>
          </w:tcPr>
          <w:p w:rsidR="00786960" w:rsidRPr="00786960" w:rsidRDefault="00786960" w:rsidP="00786960">
            <w:pPr>
              <w:jc w:val="right"/>
              <w:rPr>
                <w:rFonts w:ascii="Times New Roman" w:eastAsia="Times New Roman" w:hAnsi="Times New Roman" w:cs="Times New Roman"/>
                <w:b/>
                <w:bCs/>
                <w:sz w:val="20"/>
                <w:szCs w:val="20"/>
                <w:lang w:val="ru-RU"/>
              </w:rPr>
            </w:pPr>
            <w:r w:rsidRPr="00786960">
              <w:rPr>
                <w:rFonts w:ascii="Times New Roman" w:eastAsia="Times New Roman" w:hAnsi="Times New Roman" w:cs="Times New Roman"/>
                <w:b/>
                <w:bCs/>
                <w:sz w:val="20"/>
                <w:szCs w:val="20"/>
                <w:lang w:val="ru-RU"/>
              </w:rPr>
              <w:t>2033</w:t>
            </w:r>
            <w:r w:rsidR="007D7165" w:rsidRPr="00073C5E">
              <w:rPr>
                <w:rFonts w:ascii="Times New Roman" w:eastAsia="Times New Roman" w:hAnsi="Times New Roman" w:cs="Times New Roman"/>
                <w:b/>
                <w:bCs/>
                <w:sz w:val="20"/>
                <w:szCs w:val="20"/>
                <w:lang w:val="ru-RU"/>
              </w:rPr>
              <w:t>, тис. грн.</w:t>
            </w:r>
          </w:p>
        </w:tc>
        <w:tc>
          <w:tcPr>
            <w:tcW w:w="848" w:type="dxa"/>
            <w:hideMark/>
          </w:tcPr>
          <w:p w:rsidR="00786960" w:rsidRPr="00786960" w:rsidRDefault="00786960" w:rsidP="00786960">
            <w:pPr>
              <w:jc w:val="right"/>
              <w:rPr>
                <w:rFonts w:ascii="Times New Roman" w:eastAsia="Times New Roman" w:hAnsi="Times New Roman" w:cs="Times New Roman"/>
                <w:b/>
                <w:bCs/>
                <w:sz w:val="20"/>
                <w:szCs w:val="20"/>
                <w:lang w:val="ru-RU"/>
              </w:rPr>
            </w:pPr>
            <w:r w:rsidRPr="00786960">
              <w:rPr>
                <w:rFonts w:ascii="Times New Roman" w:eastAsia="Times New Roman" w:hAnsi="Times New Roman" w:cs="Times New Roman"/>
                <w:b/>
                <w:bCs/>
                <w:sz w:val="20"/>
                <w:szCs w:val="20"/>
                <w:lang w:val="ru-RU"/>
              </w:rPr>
              <w:t>2034</w:t>
            </w:r>
            <w:r w:rsidR="007D7165" w:rsidRPr="00073C5E">
              <w:rPr>
                <w:rFonts w:ascii="Times New Roman" w:eastAsia="Times New Roman" w:hAnsi="Times New Roman" w:cs="Times New Roman"/>
                <w:b/>
                <w:bCs/>
                <w:sz w:val="20"/>
                <w:szCs w:val="20"/>
                <w:lang w:val="ru-RU"/>
              </w:rPr>
              <w:t>, тис. грн.</w:t>
            </w:r>
          </w:p>
        </w:tc>
        <w:tc>
          <w:tcPr>
            <w:tcW w:w="849" w:type="dxa"/>
            <w:hideMark/>
          </w:tcPr>
          <w:p w:rsidR="00786960" w:rsidRPr="00786960" w:rsidRDefault="00786960" w:rsidP="00786960">
            <w:pPr>
              <w:jc w:val="right"/>
              <w:rPr>
                <w:rFonts w:ascii="Times New Roman" w:eastAsia="Times New Roman" w:hAnsi="Times New Roman" w:cs="Times New Roman"/>
                <w:b/>
                <w:bCs/>
                <w:sz w:val="20"/>
                <w:szCs w:val="20"/>
                <w:lang w:val="ru-RU"/>
              </w:rPr>
            </w:pPr>
            <w:r w:rsidRPr="00786960">
              <w:rPr>
                <w:rFonts w:ascii="Times New Roman" w:eastAsia="Times New Roman" w:hAnsi="Times New Roman" w:cs="Times New Roman"/>
                <w:b/>
                <w:bCs/>
                <w:sz w:val="20"/>
                <w:szCs w:val="20"/>
                <w:lang w:val="ru-RU"/>
              </w:rPr>
              <w:t>2035</w:t>
            </w:r>
            <w:r w:rsidR="007D7165" w:rsidRPr="00073C5E">
              <w:rPr>
                <w:rFonts w:ascii="Times New Roman" w:eastAsia="Times New Roman" w:hAnsi="Times New Roman" w:cs="Times New Roman"/>
                <w:b/>
                <w:bCs/>
                <w:sz w:val="20"/>
                <w:szCs w:val="20"/>
                <w:lang w:val="ru-RU"/>
              </w:rPr>
              <w:t>, тис. грн.</w:t>
            </w:r>
          </w:p>
        </w:tc>
        <w:tc>
          <w:tcPr>
            <w:tcW w:w="994" w:type="dxa"/>
            <w:hideMark/>
          </w:tcPr>
          <w:p w:rsidR="00786960" w:rsidRPr="00786960" w:rsidRDefault="00786960" w:rsidP="00786960">
            <w:pPr>
              <w:jc w:val="right"/>
              <w:rPr>
                <w:rFonts w:ascii="Times New Roman" w:eastAsia="Times New Roman" w:hAnsi="Times New Roman" w:cs="Times New Roman"/>
                <w:b/>
                <w:bCs/>
                <w:sz w:val="20"/>
                <w:szCs w:val="20"/>
                <w:lang w:val="ru-RU"/>
              </w:rPr>
            </w:pPr>
            <w:r w:rsidRPr="00786960">
              <w:rPr>
                <w:rFonts w:ascii="Times New Roman" w:eastAsia="Times New Roman" w:hAnsi="Times New Roman" w:cs="Times New Roman"/>
                <w:b/>
                <w:bCs/>
                <w:sz w:val="20"/>
                <w:szCs w:val="20"/>
                <w:lang w:val="ru-RU"/>
              </w:rPr>
              <w:t>Всього</w:t>
            </w:r>
            <w:r w:rsidR="007D7165" w:rsidRPr="00073C5E">
              <w:rPr>
                <w:rFonts w:ascii="Times New Roman" w:eastAsia="Times New Roman" w:hAnsi="Times New Roman" w:cs="Times New Roman"/>
                <w:b/>
                <w:bCs/>
                <w:sz w:val="20"/>
                <w:szCs w:val="20"/>
                <w:lang w:val="ru-RU"/>
              </w:rPr>
              <w:t>, тис. грн.</w:t>
            </w:r>
          </w:p>
        </w:tc>
      </w:tr>
      <w:tr w:rsidR="00073C5E" w:rsidRPr="00073C5E" w:rsidTr="00DC5776">
        <w:tc>
          <w:tcPr>
            <w:tcW w:w="1439" w:type="dxa"/>
            <w:hideMark/>
          </w:tcPr>
          <w:p w:rsidR="00073C5E" w:rsidRPr="00786960" w:rsidRDefault="00073C5E" w:rsidP="00073C5E">
            <w:pPr>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Тростянець – місто спорту</w:t>
            </w:r>
          </w:p>
        </w:tc>
        <w:tc>
          <w:tcPr>
            <w:tcW w:w="867"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073C5E">
              <w:rPr>
                <w:rFonts w:ascii="Times New Roman" w:eastAsia="Times New Roman" w:hAnsi="Times New Roman" w:cs="Times New Roman"/>
                <w:sz w:val="20"/>
                <w:szCs w:val="20"/>
                <w:lang w:val="ru-RU"/>
              </w:rPr>
              <w:t>28</w:t>
            </w:r>
            <w:r w:rsidRPr="00786960">
              <w:rPr>
                <w:rFonts w:ascii="Times New Roman" w:eastAsia="Times New Roman" w:hAnsi="Times New Roman" w:cs="Times New Roman"/>
                <w:sz w:val="20"/>
                <w:szCs w:val="20"/>
                <w:lang w:val="ru-RU"/>
              </w:rPr>
              <w:t xml:space="preserve"> 000</w:t>
            </w:r>
          </w:p>
        </w:tc>
        <w:tc>
          <w:tcPr>
            <w:tcW w:w="848"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073C5E">
              <w:rPr>
                <w:rFonts w:ascii="Times New Roman" w:eastAsia="Times New Roman" w:hAnsi="Times New Roman" w:cs="Times New Roman"/>
                <w:sz w:val="20"/>
                <w:szCs w:val="20"/>
                <w:lang w:val="ru-RU"/>
              </w:rPr>
              <w:t>40</w:t>
            </w:r>
            <w:r w:rsidRPr="00786960">
              <w:rPr>
                <w:rFonts w:ascii="Times New Roman" w:eastAsia="Times New Roman" w:hAnsi="Times New Roman" w:cs="Times New Roman"/>
                <w:sz w:val="20"/>
                <w:szCs w:val="20"/>
                <w:lang w:val="ru-RU"/>
              </w:rPr>
              <w:t xml:space="preserve"> 000</w:t>
            </w:r>
          </w:p>
        </w:tc>
        <w:tc>
          <w:tcPr>
            <w:tcW w:w="849"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31 000</w:t>
            </w:r>
          </w:p>
        </w:tc>
        <w:tc>
          <w:tcPr>
            <w:tcW w:w="848"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9 500</w:t>
            </w:r>
          </w:p>
        </w:tc>
        <w:tc>
          <w:tcPr>
            <w:tcW w:w="820"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7 000</w:t>
            </w:r>
          </w:p>
        </w:tc>
        <w:tc>
          <w:tcPr>
            <w:tcW w:w="848"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7 000</w:t>
            </w:r>
          </w:p>
        </w:tc>
        <w:tc>
          <w:tcPr>
            <w:tcW w:w="849"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8 000</w:t>
            </w:r>
          </w:p>
        </w:tc>
        <w:tc>
          <w:tcPr>
            <w:tcW w:w="799"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8 000</w:t>
            </w:r>
          </w:p>
        </w:tc>
        <w:tc>
          <w:tcPr>
            <w:tcW w:w="848"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8 000</w:t>
            </w:r>
          </w:p>
        </w:tc>
        <w:tc>
          <w:tcPr>
            <w:tcW w:w="849"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8 500</w:t>
            </w:r>
          </w:p>
        </w:tc>
        <w:tc>
          <w:tcPr>
            <w:tcW w:w="994" w:type="dxa"/>
            <w:vAlign w:val="center"/>
            <w:hideMark/>
          </w:tcPr>
          <w:p w:rsidR="00073C5E" w:rsidRPr="00073C5E" w:rsidRDefault="00073C5E" w:rsidP="00073C5E">
            <w:pPr>
              <w:jc w:val="right"/>
              <w:rPr>
                <w:rFonts w:ascii="Times New Roman" w:hAnsi="Times New Roman" w:cs="Times New Roman"/>
                <w:color w:val="000000"/>
                <w:sz w:val="20"/>
                <w:szCs w:val="20"/>
              </w:rPr>
            </w:pPr>
            <w:r w:rsidRPr="00073C5E">
              <w:rPr>
                <w:rFonts w:ascii="Times New Roman" w:hAnsi="Times New Roman" w:cs="Times New Roman"/>
                <w:color w:val="000000"/>
                <w:sz w:val="20"/>
                <w:szCs w:val="20"/>
              </w:rPr>
              <w:t>155 000</w:t>
            </w:r>
          </w:p>
        </w:tc>
      </w:tr>
      <w:tr w:rsidR="00073C5E" w:rsidRPr="00073C5E" w:rsidTr="00DC5776">
        <w:tc>
          <w:tcPr>
            <w:tcW w:w="1439" w:type="dxa"/>
            <w:hideMark/>
          </w:tcPr>
          <w:p w:rsidR="00073C5E" w:rsidRPr="00786960" w:rsidRDefault="00073C5E" w:rsidP="00073C5E">
            <w:pPr>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Чиста громада свідомих людей</w:t>
            </w:r>
          </w:p>
        </w:tc>
        <w:tc>
          <w:tcPr>
            <w:tcW w:w="867"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8 000</w:t>
            </w:r>
          </w:p>
        </w:tc>
        <w:tc>
          <w:tcPr>
            <w:tcW w:w="848"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12 500</w:t>
            </w:r>
          </w:p>
        </w:tc>
        <w:tc>
          <w:tcPr>
            <w:tcW w:w="849"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9 000</w:t>
            </w:r>
          </w:p>
        </w:tc>
        <w:tc>
          <w:tcPr>
            <w:tcW w:w="848"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11 000</w:t>
            </w:r>
          </w:p>
        </w:tc>
        <w:tc>
          <w:tcPr>
            <w:tcW w:w="820"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5 000</w:t>
            </w:r>
          </w:p>
        </w:tc>
        <w:tc>
          <w:tcPr>
            <w:tcW w:w="848"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5 000</w:t>
            </w:r>
          </w:p>
        </w:tc>
        <w:tc>
          <w:tcPr>
            <w:tcW w:w="849"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5 500</w:t>
            </w:r>
          </w:p>
        </w:tc>
        <w:tc>
          <w:tcPr>
            <w:tcW w:w="799"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5 500</w:t>
            </w:r>
          </w:p>
        </w:tc>
        <w:tc>
          <w:tcPr>
            <w:tcW w:w="848"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6 000</w:t>
            </w:r>
          </w:p>
        </w:tc>
        <w:tc>
          <w:tcPr>
            <w:tcW w:w="849"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6 000</w:t>
            </w:r>
          </w:p>
        </w:tc>
        <w:tc>
          <w:tcPr>
            <w:tcW w:w="994" w:type="dxa"/>
            <w:vAlign w:val="center"/>
            <w:hideMark/>
          </w:tcPr>
          <w:p w:rsidR="00073C5E" w:rsidRPr="00073C5E" w:rsidRDefault="00073C5E" w:rsidP="00073C5E">
            <w:pPr>
              <w:jc w:val="right"/>
              <w:rPr>
                <w:rFonts w:ascii="Times New Roman" w:hAnsi="Times New Roman" w:cs="Times New Roman"/>
                <w:color w:val="000000"/>
                <w:sz w:val="20"/>
                <w:szCs w:val="20"/>
              </w:rPr>
            </w:pPr>
            <w:r w:rsidRPr="00073C5E">
              <w:rPr>
                <w:rFonts w:ascii="Times New Roman" w:hAnsi="Times New Roman" w:cs="Times New Roman"/>
                <w:color w:val="000000"/>
                <w:sz w:val="20"/>
                <w:szCs w:val="20"/>
              </w:rPr>
              <w:t>73 500</w:t>
            </w:r>
          </w:p>
        </w:tc>
      </w:tr>
      <w:tr w:rsidR="00073C5E" w:rsidRPr="00073C5E" w:rsidTr="00DC5776">
        <w:tc>
          <w:tcPr>
            <w:tcW w:w="1439" w:type="dxa"/>
            <w:hideMark/>
          </w:tcPr>
          <w:p w:rsidR="00073C5E" w:rsidRPr="00786960" w:rsidRDefault="00073C5E" w:rsidP="00073C5E">
            <w:pPr>
              <w:rPr>
                <w:rFonts w:ascii="Times New Roman" w:eastAsia="Times New Roman" w:hAnsi="Times New Roman" w:cs="Times New Roman"/>
                <w:sz w:val="20"/>
                <w:szCs w:val="20"/>
                <w:lang w:val="ru-RU"/>
              </w:rPr>
            </w:pPr>
            <w:r w:rsidRPr="00073C5E">
              <w:rPr>
                <w:rFonts w:ascii="Times New Roman" w:eastAsia="Times New Roman" w:hAnsi="Times New Roman" w:cs="Times New Roman"/>
                <w:sz w:val="20"/>
                <w:szCs w:val="20"/>
                <w:lang w:val="ru-RU"/>
              </w:rPr>
              <w:t>Безпечне та безбар’єрне місто</w:t>
            </w:r>
          </w:p>
        </w:tc>
        <w:tc>
          <w:tcPr>
            <w:tcW w:w="867"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 xml:space="preserve">25 </w:t>
            </w:r>
            <w:r w:rsidRPr="00073C5E">
              <w:rPr>
                <w:rFonts w:ascii="Times New Roman" w:eastAsia="Times New Roman" w:hAnsi="Times New Roman" w:cs="Times New Roman"/>
                <w:sz w:val="20"/>
                <w:szCs w:val="20"/>
                <w:lang w:val="ru-RU"/>
              </w:rPr>
              <w:t>2</w:t>
            </w:r>
            <w:r w:rsidRPr="00786960">
              <w:rPr>
                <w:rFonts w:ascii="Times New Roman" w:eastAsia="Times New Roman" w:hAnsi="Times New Roman" w:cs="Times New Roman"/>
                <w:sz w:val="20"/>
                <w:szCs w:val="20"/>
                <w:lang w:val="ru-RU"/>
              </w:rPr>
              <w:t>00</w:t>
            </w:r>
          </w:p>
        </w:tc>
        <w:tc>
          <w:tcPr>
            <w:tcW w:w="848"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21 000</w:t>
            </w:r>
          </w:p>
        </w:tc>
        <w:tc>
          <w:tcPr>
            <w:tcW w:w="849"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19 500</w:t>
            </w:r>
          </w:p>
        </w:tc>
        <w:tc>
          <w:tcPr>
            <w:tcW w:w="848"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16 000</w:t>
            </w:r>
          </w:p>
        </w:tc>
        <w:tc>
          <w:tcPr>
            <w:tcW w:w="820"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10 000</w:t>
            </w:r>
          </w:p>
        </w:tc>
        <w:tc>
          <w:tcPr>
            <w:tcW w:w="848"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10 000</w:t>
            </w:r>
          </w:p>
        </w:tc>
        <w:tc>
          <w:tcPr>
            <w:tcW w:w="849"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10 000</w:t>
            </w:r>
          </w:p>
        </w:tc>
        <w:tc>
          <w:tcPr>
            <w:tcW w:w="799"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10 000</w:t>
            </w:r>
          </w:p>
        </w:tc>
        <w:tc>
          <w:tcPr>
            <w:tcW w:w="848"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11 000</w:t>
            </w:r>
          </w:p>
        </w:tc>
        <w:tc>
          <w:tcPr>
            <w:tcW w:w="849"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11 000</w:t>
            </w:r>
          </w:p>
        </w:tc>
        <w:tc>
          <w:tcPr>
            <w:tcW w:w="994" w:type="dxa"/>
            <w:vAlign w:val="center"/>
            <w:hideMark/>
          </w:tcPr>
          <w:p w:rsidR="00073C5E" w:rsidRPr="00073C5E" w:rsidRDefault="00073C5E" w:rsidP="00073C5E">
            <w:pPr>
              <w:jc w:val="right"/>
              <w:rPr>
                <w:rFonts w:ascii="Times New Roman" w:hAnsi="Times New Roman" w:cs="Times New Roman"/>
                <w:color w:val="000000"/>
                <w:sz w:val="20"/>
                <w:szCs w:val="20"/>
              </w:rPr>
            </w:pPr>
            <w:r w:rsidRPr="00073C5E">
              <w:rPr>
                <w:rFonts w:ascii="Times New Roman" w:hAnsi="Times New Roman" w:cs="Times New Roman"/>
                <w:color w:val="000000"/>
                <w:sz w:val="20"/>
                <w:szCs w:val="20"/>
              </w:rPr>
              <w:t>143 700</w:t>
            </w:r>
          </w:p>
        </w:tc>
      </w:tr>
      <w:tr w:rsidR="00073C5E" w:rsidRPr="00073C5E" w:rsidTr="00DC5776">
        <w:tc>
          <w:tcPr>
            <w:tcW w:w="1439" w:type="dxa"/>
            <w:hideMark/>
          </w:tcPr>
          <w:p w:rsidR="00073C5E" w:rsidRPr="00786960" w:rsidRDefault="00073C5E" w:rsidP="00073C5E">
            <w:pPr>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Місто професійної самореалізації</w:t>
            </w:r>
          </w:p>
        </w:tc>
        <w:tc>
          <w:tcPr>
            <w:tcW w:w="867"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073C5E">
              <w:rPr>
                <w:rFonts w:ascii="Times New Roman" w:eastAsia="Times New Roman" w:hAnsi="Times New Roman" w:cs="Times New Roman"/>
                <w:sz w:val="20"/>
                <w:szCs w:val="20"/>
                <w:lang w:val="ru-RU"/>
              </w:rPr>
              <w:t>5</w:t>
            </w:r>
            <w:r w:rsidRPr="00786960">
              <w:rPr>
                <w:rFonts w:ascii="Times New Roman" w:eastAsia="Times New Roman" w:hAnsi="Times New Roman" w:cs="Times New Roman"/>
                <w:sz w:val="20"/>
                <w:szCs w:val="20"/>
                <w:lang w:val="ru-RU"/>
              </w:rPr>
              <w:t xml:space="preserve"> 000</w:t>
            </w:r>
          </w:p>
        </w:tc>
        <w:tc>
          <w:tcPr>
            <w:tcW w:w="848"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10 000</w:t>
            </w:r>
          </w:p>
        </w:tc>
        <w:tc>
          <w:tcPr>
            <w:tcW w:w="849"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9 500</w:t>
            </w:r>
          </w:p>
        </w:tc>
        <w:tc>
          <w:tcPr>
            <w:tcW w:w="848"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9 500</w:t>
            </w:r>
          </w:p>
        </w:tc>
        <w:tc>
          <w:tcPr>
            <w:tcW w:w="820"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5 000</w:t>
            </w:r>
          </w:p>
        </w:tc>
        <w:tc>
          <w:tcPr>
            <w:tcW w:w="848"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5 000</w:t>
            </w:r>
          </w:p>
        </w:tc>
        <w:tc>
          <w:tcPr>
            <w:tcW w:w="849"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5 500</w:t>
            </w:r>
          </w:p>
        </w:tc>
        <w:tc>
          <w:tcPr>
            <w:tcW w:w="799"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5 500</w:t>
            </w:r>
          </w:p>
        </w:tc>
        <w:tc>
          <w:tcPr>
            <w:tcW w:w="848"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6 000</w:t>
            </w:r>
          </w:p>
        </w:tc>
        <w:tc>
          <w:tcPr>
            <w:tcW w:w="849" w:type="dxa"/>
            <w:hideMark/>
          </w:tcPr>
          <w:p w:rsidR="00073C5E" w:rsidRPr="00786960" w:rsidRDefault="00073C5E" w:rsidP="00073C5E">
            <w:pPr>
              <w:jc w:val="right"/>
              <w:rPr>
                <w:rFonts w:ascii="Times New Roman" w:eastAsia="Times New Roman" w:hAnsi="Times New Roman" w:cs="Times New Roman"/>
                <w:sz w:val="20"/>
                <w:szCs w:val="20"/>
                <w:lang w:val="ru-RU"/>
              </w:rPr>
            </w:pPr>
            <w:r w:rsidRPr="00786960">
              <w:rPr>
                <w:rFonts w:ascii="Times New Roman" w:eastAsia="Times New Roman" w:hAnsi="Times New Roman" w:cs="Times New Roman"/>
                <w:sz w:val="20"/>
                <w:szCs w:val="20"/>
                <w:lang w:val="ru-RU"/>
              </w:rPr>
              <w:t>6 000</w:t>
            </w:r>
          </w:p>
        </w:tc>
        <w:tc>
          <w:tcPr>
            <w:tcW w:w="994" w:type="dxa"/>
            <w:vAlign w:val="center"/>
            <w:hideMark/>
          </w:tcPr>
          <w:p w:rsidR="00073C5E" w:rsidRPr="00073C5E" w:rsidRDefault="00073C5E" w:rsidP="00073C5E">
            <w:pPr>
              <w:jc w:val="right"/>
              <w:rPr>
                <w:rFonts w:ascii="Times New Roman" w:hAnsi="Times New Roman" w:cs="Times New Roman"/>
                <w:color w:val="000000"/>
                <w:sz w:val="20"/>
                <w:szCs w:val="20"/>
              </w:rPr>
            </w:pPr>
            <w:r w:rsidRPr="00073C5E">
              <w:rPr>
                <w:rFonts w:ascii="Times New Roman" w:hAnsi="Times New Roman" w:cs="Times New Roman"/>
                <w:color w:val="000000"/>
                <w:sz w:val="20"/>
                <w:szCs w:val="20"/>
              </w:rPr>
              <w:t>67 000</w:t>
            </w:r>
          </w:p>
        </w:tc>
      </w:tr>
      <w:tr w:rsidR="00073C5E" w:rsidRPr="00073C5E" w:rsidTr="00DC5776">
        <w:tc>
          <w:tcPr>
            <w:tcW w:w="1439" w:type="dxa"/>
            <w:hideMark/>
          </w:tcPr>
          <w:p w:rsidR="00073C5E" w:rsidRPr="00786960" w:rsidRDefault="00073C5E" w:rsidP="00073C5E">
            <w:pPr>
              <w:rPr>
                <w:rFonts w:ascii="Times New Roman" w:eastAsia="Times New Roman" w:hAnsi="Times New Roman" w:cs="Times New Roman"/>
                <w:sz w:val="20"/>
                <w:szCs w:val="20"/>
                <w:lang w:val="ru-RU"/>
              </w:rPr>
            </w:pPr>
            <w:r w:rsidRPr="00786960">
              <w:rPr>
                <w:rFonts w:ascii="Times New Roman" w:eastAsia="Times New Roman" w:hAnsi="Times New Roman" w:cs="Times New Roman"/>
                <w:b/>
                <w:bCs/>
                <w:sz w:val="20"/>
                <w:szCs w:val="20"/>
                <w:lang w:val="ru-RU"/>
              </w:rPr>
              <w:t>Разом</w:t>
            </w:r>
          </w:p>
        </w:tc>
        <w:tc>
          <w:tcPr>
            <w:tcW w:w="867" w:type="dxa"/>
            <w:vAlign w:val="center"/>
            <w:hideMark/>
          </w:tcPr>
          <w:p w:rsidR="00073C5E" w:rsidRPr="00073C5E" w:rsidRDefault="00073C5E" w:rsidP="00073C5E">
            <w:pPr>
              <w:jc w:val="right"/>
              <w:rPr>
                <w:rFonts w:ascii="Times New Roman" w:hAnsi="Times New Roman" w:cs="Times New Roman"/>
                <w:b/>
                <w:bCs/>
                <w:color w:val="000000"/>
                <w:sz w:val="20"/>
                <w:szCs w:val="20"/>
              </w:rPr>
            </w:pPr>
            <w:r w:rsidRPr="00073C5E">
              <w:rPr>
                <w:rFonts w:ascii="Times New Roman" w:hAnsi="Times New Roman" w:cs="Times New Roman"/>
                <w:b/>
                <w:bCs/>
                <w:color w:val="000000"/>
                <w:sz w:val="20"/>
                <w:szCs w:val="20"/>
              </w:rPr>
              <w:t>66 200</w:t>
            </w:r>
          </w:p>
        </w:tc>
        <w:tc>
          <w:tcPr>
            <w:tcW w:w="848" w:type="dxa"/>
            <w:vAlign w:val="center"/>
            <w:hideMark/>
          </w:tcPr>
          <w:p w:rsidR="00073C5E" w:rsidRPr="00073C5E" w:rsidRDefault="00073C5E" w:rsidP="00073C5E">
            <w:pPr>
              <w:jc w:val="right"/>
              <w:rPr>
                <w:rFonts w:ascii="Times New Roman" w:hAnsi="Times New Roman" w:cs="Times New Roman"/>
                <w:b/>
                <w:bCs/>
                <w:color w:val="000000"/>
                <w:sz w:val="20"/>
                <w:szCs w:val="20"/>
              </w:rPr>
            </w:pPr>
            <w:r w:rsidRPr="00073C5E">
              <w:rPr>
                <w:rFonts w:ascii="Times New Roman" w:hAnsi="Times New Roman" w:cs="Times New Roman"/>
                <w:b/>
                <w:bCs/>
                <w:color w:val="000000"/>
                <w:sz w:val="20"/>
                <w:szCs w:val="20"/>
              </w:rPr>
              <w:t>83 500</w:t>
            </w:r>
          </w:p>
        </w:tc>
        <w:tc>
          <w:tcPr>
            <w:tcW w:w="849" w:type="dxa"/>
            <w:vAlign w:val="center"/>
            <w:hideMark/>
          </w:tcPr>
          <w:p w:rsidR="00073C5E" w:rsidRPr="00073C5E" w:rsidRDefault="00073C5E" w:rsidP="00073C5E">
            <w:pPr>
              <w:jc w:val="right"/>
              <w:rPr>
                <w:rFonts w:ascii="Times New Roman" w:hAnsi="Times New Roman" w:cs="Times New Roman"/>
                <w:b/>
                <w:bCs/>
                <w:color w:val="000000"/>
                <w:sz w:val="20"/>
                <w:szCs w:val="20"/>
              </w:rPr>
            </w:pPr>
            <w:r w:rsidRPr="00073C5E">
              <w:rPr>
                <w:rFonts w:ascii="Times New Roman" w:hAnsi="Times New Roman" w:cs="Times New Roman"/>
                <w:b/>
                <w:bCs/>
                <w:color w:val="000000"/>
                <w:sz w:val="20"/>
                <w:szCs w:val="20"/>
              </w:rPr>
              <w:t>69 000</w:t>
            </w:r>
          </w:p>
        </w:tc>
        <w:tc>
          <w:tcPr>
            <w:tcW w:w="848" w:type="dxa"/>
            <w:vAlign w:val="center"/>
            <w:hideMark/>
          </w:tcPr>
          <w:p w:rsidR="00073C5E" w:rsidRPr="00073C5E" w:rsidRDefault="00073C5E" w:rsidP="00073C5E">
            <w:pPr>
              <w:jc w:val="right"/>
              <w:rPr>
                <w:rFonts w:ascii="Times New Roman" w:hAnsi="Times New Roman" w:cs="Times New Roman"/>
                <w:b/>
                <w:bCs/>
                <w:color w:val="000000"/>
                <w:sz w:val="20"/>
                <w:szCs w:val="20"/>
              </w:rPr>
            </w:pPr>
            <w:r w:rsidRPr="00073C5E">
              <w:rPr>
                <w:rFonts w:ascii="Times New Roman" w:hAnsi="Times New Roman" w:cs="Times New Roman"/>
                <w:b/>
                <w:bCs/>
                <w:color w:val="000000"/>
                <w:sz w:val="20"/>
                <w:szCs w:val="20"/>
              </w:rPr>
              <w:t>46 000</w:t>
            </w:r>
          </w:p>
        </w:tc>
        <w:tc>
          <w:tcPr>
            <w:tcW w:w="820" w:type="dxa"/>
            <w:vAlign w:val="center"/>
            <w:hideMark/>
          </w:tcPr>
          <w:p w:rsidR="00073C5E" w:rsidRPr="00073C5E" w:rsidRDefault="00073C5E" w:rsidP="00073C5E">
            <w:pPr>
              <w:jc w:val="right"/>
              <w:rPr>
                <w:rFonts w:ascii="Times New Roman" w:hAnsi="Times New Roman" w:cs="Times New Roman"/>
                <w:b/>
                <w:bCs/>
                <w:color w:val="000000"/>
                <w:sz w:val="20"/>
                <w:szCs w:val="20"/>
              </w:rPr>
            </w:pPr>
            <w:r w:rsidRPr="00073C5E">
              <w:rPr>
                <w:rFonts w:ascii="Times New Roman" w:hAnsi="Times New Roman" w:cs="Times New Roman"/>
                <w:b/>
                <w:bCs/>
                <w:color w:val="000000"/>
                <w:sz w:val="20"/>
                <w:szCs w:val="20"/>
              </w:rPr>
              <w:t>27 000</w:t>
            </w:r>
          </w:p>
        </w:tc>
        <w:tc>
          <w:tcPr>
            <w:tcW w:w="848" w:type="dxa"/>
            <w:vAlign w:val="center"/>
            <w:hideMark/>
          </w:tcPr>
          <w:p w:rsidR="00073C5E" w:rsidRPr="00073C5E" w:rsidRDefault="00073C5E" w:rsidP="00073C5E">
            <w:pPr>
              <w:jc w:val="right"/>
              <w:rPr>
                <w:rFonts w:ascii="Times New Roman" w:hAnsi="Times New Roman" w:cs="Times New Roman"/>
                <w:b/>
                <w:bCs/>
                <w:color w:val="000000"/>
                <w:sz w:val="20"/>
                <w:szCs w:val="20"/>
              </w:rPr>
            </w:pPr>
            <w:r w:rsidRPr="00073C5E">
              <w:rPr>
                <w:rFonts w:ascii="Times New Roman" w:hAnsi="Times New Roman" w:cs="Times New Roman"/>
                <w:b/>
                <w:bCs/>
                <w:color w:val="000000"/>
                <w:sz w:val="20"/>
                <w:szCs w:val="20"/>
              </w:rPr>
              <w:t>27 000</w:t>
            </w:r>
          </w:p>
        </w:tc>
        <w:tc>
          <w:tcPr>
            <w:tcW w:w="849" w:type="dxa"/>
            <w:vAlign w:val="center"/>
            <w:hideMark/>
          </w:tcPr>
          <w:p w:rsidR="00073C5E" w:rsidRPr="00073C5E" w:rsidRDefault="00073C5E" w:rsidP="00073C5E">
            <w:pPr>
              <w:jc w:val="right"/>
              <w:rPr>
                <w:rFonts w:ascii="Times New Roman" w:hAnsi="Times New Roman" w:cs="Times New Roman"/>
                <w:b/>
                <w:bCs/>
                <w:color w:val="000000"/>
                <w:sz w:val="20"/>
                <w:szCs w:val="20"/>
              </w:rPr>
            </w:pPr>
            <w:r w:rsidRPr="00073C5E">
              <w:rPr>
                <w:rFonts w:ascii="Times New Roman" w:hAnsi="Times New Roman" w:cs="Times New Roman"/>
                <w:b/>
                <w:bCs/>
                <w:color w:val="000000"/>
                <w:sz w:val="20"/>
                <w:szCs w:val="20"/>
              </w:rPr>
              <w:t>29 000</w:t>
            </w:r>
          </w:p>
        </w:tc>
        <w:tc>
          <w:tcPr>
            <w:tcW w:w="799" w:type="dxa"/>
            <w:vAlign w:val="center"/>
            <w:hideMark/>
          </w:tcPr>
          <w:p w:rsidR="00073C5E" w:rsidRPr="00073C5E" w:rsidRDefault="00073C5E" w:rsidP="00073C5E">
            <w:pPr>
              <w:jc w:val="right"/>
              <w:rPr>
                <w:rFonts w:ascii="Times New Roman" w:hAnsi="Times New Roman" w:cs="Times New Roman"/>
                <w:b/>
                <w:bCs/>
                <w:color w:val="000000"/>
                <w:sz w:val="20"/>
                <w:szCs w:val="20"/>
              </w:rPr>
            </w:pPr>
            <w:r w:rsidRPr="00073C5E">
              <w:rPr>
                <w:rFonts w:ascii="Times New Roman" w:hAnsi="Times New Roman" w:cs="Times New Roman"/>
                <w:b/>
                <w:bCs/>
                <w:color w:val="000000"/>
                <w:sz w:val="20"/>
                <w:szCs w:val="20"/>
              </w:rPr>
              <w:t>29 000</w:t>
            </w:r>
          </w:p>
        </w:tc>
        <w:tc>
          <w:tcPr>
            <w:tcW w:w="848" w:type="dxa"/>
            <w:vAlign w:val="center"/>
            <w:hideMark/>
          </w:tcPr>
          <w:p w:rsidR="00073C5E" w:rsidRPr="00073C5E" w:rsidRDefault="00073C5E" w:rsidP="00073C5E">
            <w:pPr>
              <w:jc w:val="right"/>
              <w:rPr>
                <w:rFonts w:ascii="Times New Roman" w:hAnsi="Times New Roman" w:cs="Times New Roman"/>
                <w:b/>
                <w:bCs/>
                <w:color w:val="000000"/>
                <w:sz w:val="20"/>
                <w:szCs w:val="20"/>
              </w:rPr>
            </w:pPr>
            <w:r w:rsidRPr="00073C5E">
              <w:rPr>
                <w:rFonts w:ascii="Times New Roman" w:hAnsi="Times New Roman" w:cs="Times New Roman"/>
                <w:b/>
                <w:bCs/>
                <w:color w:val="000000"/>
                <w:sz w:val="20"/>
                <w:szCs w:val="20"/>
              </w:rPr>
              <w:t>31 000</w:t>
            </w:r>
          </w:p>
        </w:tc>
        <w:tc>
          <w:tcPr>
            <w:tcW w:w="849" w:type="dxa"/>
            <w:vAlign w:val="center"/>
            <w:hideMark/>
          </w:tcPr>
          <w:p w:rsidR="00073C5E" w:rsidRPr="00073C5E" w:rsidRDefault="00073C5E" w:rsidP="00073C5E">
            <w:pPr>
              <w:jc w:val="right"/>
              <w:rPr>
                <w:rFonts w:ascii="Times New Roman" w:hAnsi="Times New Roman" w:cs="Times New Roman"/>
                <w:b/>
                <w:bCs/>
                <w:color w:val="000000"/>
                <w:sz w:val="20"/>
                <w:szCs w:val="20"/>
              </w:rPr>
            </w:pPr>
            <w:r w:rsidRPr="00073C5E">
              <w:rPr>
                <w:rFonts w:ascii="Times New Roman" w:hAnsi="Times New Roman" w:cs="Times New Roman"/>
                <w:b/>
                <w:bCs/>
                <w:color w:val="000000"/>
                <w:sz w:val="20"/>
                <w:szCs w:val="20"/>
              </w:rPr>
              <w:t>31 500</w:t>
            </w:r>
          </w:p>
        </w:tc>
        <w:tc>
          <w:tcPr>
            <w:tcW w:w="994" w:type="dxa"/>
            <w:vAlign w:val="center"/>
            <w:hideMark/>
          </w:tcPr>
          <w:p w:rsidR="00073C5E" w:rsidRPr="00073C5E" w:rsidRDefault="00073C5E" w:rsidP="00073C5E">
            <w:pPr>
              <w:jc w:val="right"/>
              <w:rPr>
                <w:rFonts w:ascii="Times New Roman" w:hAnsi="Times New Roman" w:cs="Times New Roman"/>
                <w:b/>
                <w:bCs/>
                <w:color w:val="000000"/>
                <w:sz w:val="20"/>
                <w:szCs w:val="20"/>
              </w:rPr>
            </w:pPr>
            <w:r w:rsidRPr="00073C5E">
              <w:rPr>
                <w:rFonts w:ascii="Times New Roman" w:hAnsi="Times New Roman" w:cs="Times New Roman"/>
                <w:b/>
                <w:bCs/>
                <w:color w:val="000000"/>
                <w:sz w:val="20"/>
                <w:szCs w:val="20"/>
              </w:rPr>
              <w:t>439 200</w:t>
            </w:r>
          </w:p>
        </w:tc>
      </w:tr>
    </w:tbl>
    <w:p w:rsidR="003658EC" w:rsidRPr="00761342" w:rsidRDefault="003658EC">
      <w:pPr>
        <w:spacing w:line="360" w:lineRule="auto"/>
        <w:ind w:firstLine="720"/>
        <w:jc w:val="both"/>
        <w:rPr>
          <w:rFonts w:ascii="Times New Roman" w:eastAsia="Times New Roman" w:hAnsi="Times New Roman" w:cs="Times New Roman"/>
          <w:b/>
          <w:bCs/>
          <w:sz w:val="28"/>
          <w:szCs w:val="28"/>
          <w:lang w:val="uk-UA"/>
        </w:rPr>
      </w:pP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Бюджетні кошти Тростянецької міської ради.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Тростянецька міська рада (далі ТМР) виступає одним з ключових партнерів для реалізації Молодіжної стратегії. ТМР може використовувати кошти місцевого бюджету або залучати зовнішні ресурси для реалізації проєктів та заходів Молодіжної стратегії, зокрема через фінансування профільних виконавчих підрозділів, реалізацію бюджетних програм або організацію конкурсів проєктів для молодіжних громадських організацій. </w:t>
      </w:r>
    </w:p>
    <w:p w:rsidR="003658EC" w:rsidRDefault="009D4FF0">
      <w:pPr>
        <w:spacing w:line="360"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Власні кошти молодіжних та громадських організацій, освітніх установ та підприємств. </w:t>
      </w:r>
    </w:p>
    <w:p w:rsidR="003658EC" w:rsidRDefault="009D4FF0">
      <w:pPr>
        <w:spacing w:line="36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Організації громадянського суспільства, освітні інституції та підприємства, залучені до реалізації молодіжної Стратегії, можуть використовувати власні та залучені фінансові, людські та матеріальні ресурси для втілення проєктів та заходів, передбачених щорічним Планом реалізації. </w:t>
      </w:r>
    </w:p>
    <w:p w:rsidR="003658EC" w:rsidRDefault="003658EC">
      <w:pPr>
        <w:widowControl w:val="0"/>
        <w:spacing w:line="360" w:lineRule="auto"/>
        <w:ind w:firstLine="720"/>
        <w:jc w:val="both"/>
        <w:rPr>
          <w:rFonts w:ascii="Times New Roman" w:eastAsia="Times New Roman" w:hAnsi="Times New Roman" w:cs="Times New Roman"/>
          <w:sz w:val="28"/>
          <w:szCs w:val="28"/>
        </w:rPr>
      </w:pPr>
    </w:p>
    <w:sectPr w:rsidR="003658EC" w:rsidSect="001845BF">
      <w:pgSz w:w="11909" w:h="16834"/>
      <w:pgMar w:top="851" w:right="567" w:bottom="567" w:left="1701" w:header="720" w:footer="72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embedRegular r:id="rId1" w:fontKey="{F9558F80-8F06-44E1-A1F2-9C7A5978DB18}"/>
  </w:font>
  <w:font w:name="Calibri">
    <w:panose1 w:val="020F0502020204030204"/>
    <w:charset w:val="CC"/>
    <w:family w:val="swiss"/>
    <w:pitch w:val="variable"/>
    <w:sig w:usb0="E4002EFF" w:usb1="C000247B" w:usb2="00000009" w:usb3="00000000" w:csb0="000001FF" w:csb1="00000000"/>
    <w:embedRegular r:id="rId2" w:fontKey="{F8281518-45B8-4407-9D18-464E45543F3E}"/>
  </w:font>
  <w:font w:name="Cambria">
    <w:panose1 w:val="02040503050406030204"/>
    <w:charset w:val="CC"/>
    <w:family w:val="roman"/>
    <w:pitch w:val="variable"/>
    <w:sig w:usb0="E00006FF" w:usb1="420024FF" w:usb2="02000000" w:usb3="00000000" w:csb0="0000019F" w:csb1="00000000"/>
    <w:embedRegular r:id="rId3" w:fontKey="{F05D5FCB-034A-4ECB-AC0F-B9AE5A7EC98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175D23"/>
    <w:multiLevelType w:val="multilevel"/>
    <w:tmpl w:val="825A17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61A1EB2"/>
    <w:multiLevelType w:val="multilevel"/>
    <w:tmpl w:val="B0DED8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B7F0FCF"/>
    <w:multiLevelType w:val="multilevel"/>
    <w:tmpl w:val="4A621A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EFC69CC"/>
    <w:multiLevelType w:val="multilevel"/>
    <w:tmpl w:val="E7E004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35B1973"/>
    <w:multiLevelType w:val="multilevel"/>
    <w:tmpl w:val="29806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5A0348B"/>
    <w:multiLevelType w:val="multilevel"/>
    <w:tmpl w:val="0AE0B0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9E31B32"/>
    <w:multiLevelType w:val="multilevel"/>
    <w:tmpl w:val="F32434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B6157CA"/>
    <w:multiLevelType w:val="multilevel"/>
    <w:tmpl w:val="329A86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B973DEA"/>
    <w:multiLevelType w:val="multilevel"/>
    <w:tmpl w:val="02C812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E6D28FD"/>
    <w:multiLevelType w:val="multilevel"/>
    <w:tmpl w:val="76D2C5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2475B80"/>
    <w:multiLevelType w:val="multilevel"/>
    <w:tmpl w:val="EB327EB4"/>
    <w:lvl w:ilvl="0">
      <w:start w:val="1"/>
      <w:numFmt w:val="bullet"/>
      <w:lvlText w:val="●"/>
      <w:lvlJc w:val="left"/>
      <w:pPr>
        <w:ind w:left="720" w:hanging="360"/>
      </w:pPr>
      <w:rPr>
        <w:rFonts w:ascii="Arial" w:eastAsia="Arial" w:hAnsi="Arial" w:cs="Arial"/>
        <w:b w:val="0"/>
        <w:bCs w:val="0"/>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962680A"/>
    <w:multiLevelType w:val="multilevel"/>
    <w:tmpl w:val="4D7C26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FF368BF"/>
    <w:multiLevelType w:val="multilevel"/>
    <w:tmpl w:val="6480E8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2497BFA"/>
    <w:multiLevelType w:val="multilevel"/>
    <w:tmpl w:val="F4D076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710641F9"/>
    <w:multiLevelType w:val="multilevel"/>
    <w:tmpl w:val="5AF862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4AF2898"/>
    <w:multiLevelType w:val="multilevel"/>
    <w:tmpl w:val="EFF632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D405A90"/>
    <w:multiLevelType w:val="multilevel"/>
    <w:tmpl w:val="1F0675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6"/>
  </w:num>
  <w:num w:numId="2">
    <w:abstractNumId w:val="8"/>
  </w:num>
  <w:num w:numId="3">
    <w:abstractNumId w:val="13"/>
  </w:num>
  <w:num w:numId="4">
    <w:abstractNumId w:val="11"/>
  </w:num>
  <w:num w:numId="5">
    <w:abstractNumId w:val="0"/>
  </w:num>
  <w:num w:numId="6">
    <w:abstractNumId w:val="5"/>
  </w:num>
  <w:num w:numId="7">
    <w:abstractNumId w:val="4"/>
  </w:num>
  <w:num w:numId="8">
    <w:abstractNumId w:val="10"/>
  </w:num>
  <w:num w:numId="9">
    <w:abstractNumId w:val="3"/>
  </w:num>
  <w:num w:numId="10">
    <w:abstractNumId w:val="15"/>
  </w:num>
  <w:num w:numId="11">
    <w:abstractNumId w:val="9"/>
  </w:num>
  <w:num w:numId="12">
    <w:abstractNumId w:val="14"/>
  </w:num>
  <w:num w:numId="13">
    <w:abstractNumId w:val="12"/>
  </w:num>
  <w:num w:numId="14">
    <w:abstractNumId w:val="16"/>
  </w:num>
  <w:num w:numId="15">
    <w:abstractNumId w:val="1"/>
  </w:num>
  <w:num w:numId="16">
    <w:abstractNumId w:val="2"/>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hideSpellingErrors/>
  <w:proofState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58EC"/>
    <w:rsid w:val="00073C5E"/>
    <w:rsid w:val="001327A2"/>
    <w:rsid w:val="001845BF"/>
    <w:rsid w:val="001A213A"/>
    <w:rsid w:val="003658EC"/>
    <w:rsid w:val="00486A30"/>
    <w:rsid w:val="00495D7B"/>
    <w:rsid w:val="00761342"/>
    <w:rsid w:val="00786960"/>
    <w:rsid w:val="007D7165"/>
    <w:rsid w:val="00886ADC"/>
    <w:rsid w:val="009D4FF0"/>
    <w:rsid w:val="00A82799"/>
    <w:rsid w:val="00B17E80"/>
    <w:rsid w:val="00B97F83"/>
    <w:rsid w:val="00DC3EAE"/>
    <w:rsid w:val="00F17A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49454"/>
  <w15:docId w15:val="{C0FA70BD-C12C-48DD-B1B1-504AD1DEF4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unhideWhenUsed/>
    <w:qFormat/>
    <w:pPr>
      <w:keepNext/>
      <w:keepLines/>
      <w:spacing w:before="360" w:after="120"/>
      <w:outlineLvl w:val="1"/>
    </w:pPr>
    <w:rPr>
      <w:sz w:val="32"/>
      <w:szCs w:val="32"/>
    </w:rPr>
  </w:style>
  <w:style w:type="paragraph" w:styleId="3">
    <w:name w:val="heading 3"/>
    <w:basedOn w:val="a"/>
    <w:next w:val="a"/>
    <w:uiPriority w:val="9"/>
    <w:unhideWhenUsed/>
    <w:qFormat/>
    <w:pPr>
      <w:keepNext/>
      <w:keepLines/>
      <w:spacing w:before="320" w:after="80"/>
      <w:outlineLvl w:val="2"/>
    </w:pPr>
    <w:rPr>
      <w:color w:val="434343"/>
      <w:sz w:val="28"/>
      <w:szCs w:val="28"/>
    </w:rPr>
  </w:style>
  <w:style w:type="paragraph" w:styleId="4">
    <w:name w:val="heading 4"/>
    <w:basedOn w:val="a"/>
    <w:next w:val="a"/>
    <w:uiPriority w:val="9"/>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table" w:styleId="a6">
    <w:name w:val="Table Grid"/>
    <w:basedOn w:val="a1"/>
    <w:uiPriority w:val="39"/>
    <w:rsid w:val="00F17A5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ody Text"/>
    <w:basedOn w:val="a"/>
    <w:link w:val="a8"/>
    <w:uiPriority w:val="99"/>
    <w:rsid w:val="001327A2"/>
    <w:pPr>
      <w:spacing w:after="120" w:line="240" w:lineRule="auto"/>
    </w:pPr>
    <w:rPr>
      <w:rFonts w:ascii="Times New Roman" w:eastAsia="Times New Roman" w:hAnsi="Times New Roman" w:cs="Times New Roman"/>
      <w:sz w:val="24"/>
      <w:szCs w:val="24"/>
      <w:lang w:val="uk-UA"/>
    </w:rPr>
  </w:style>
  <w:style w:type="character" w:customStyle="1" w:styleId="a8">
    <w:name w:val="Основной текст Знак"/>
    <w:basedOn w:val="a0"/>
    <w:link w:val="a7"/>
    <w:uiPriority w:val="99"/>
    <w:rsid w:val="001327A2"/>
    <w:rPr>
      <w:rFonts w:ascii="Times New Roman" w:eastAsia="Times New Roman" w:hAnsi="Times New Roman" w:cs="Times New Roman"/>
      <w:sz w:val="24"/>
      <w:szCs w:val="24"/>
      <w:lang w:val="uk-UA"/>
    </w:rPr>
  </w:style>
  <w:style w:type="character" w:customStyle="1" w:styleId="20">
    <w:name w:val="Основной текст (2)_"/>
    <w:link w:val="21"/>
    <w:locked/>
    <w:rsid w:val="00486A30"/>
    <w:rPr>
      <w:sz w:val="23"/>
      <w:szCs w:val="23"/>
      <w:shd w:val="clear" w:color="auto" w:fill="FFFFFF"/>
    </w:rPr>
  </w:style>
  <w:style w:type="paragraph" w:customStyle="1" w:styleId="21">
    <w:name w:val="Основной текст (2)1"/>
    <w:basedOn w:val="a"/>
    <w:link w:val="20"/>
    <w:rsid w:val="00486A30"/>
    <w:pPr>
      <w:shd w:val="clear" w:color="auto" w:fill="FFFFFF"/>
      <w:spacing w:line="269" w:lineRule="exact"/>
    </w:pPr>
    <w:rPr>
      <w:sz w:val="23"/>
      <w:szCs w:val="23"/>
    </w:rPr>
  </w:style>
  <w:style w:type="character" w:customStyle="1" w:styleId="214">
    <w:name w:val="Основной текст (2)14"/>
    <w:basedOn w:val="20"/>
    <w:rsid w:val="00486A30"/>
    <w:rPr>
      <w:sz w:val="23"/>
      <w:szCs w:val="23"/>
      <w:shd w:val="clear" w:color="auto" w:fill="FFFFFF"/>
    </w:rPr>
  </w:style>
  <w:style w:type="paragraph" w:styleId="a9">
    <w:name w:val="Balloon Text"/>
    <w:basedOn w:val="a"/>
    <w:link w:val="aa"/>
    <w:uiPriority w:val="99"/>
    <w:semiHidden/>
    <w:unhideWhenUsed/>
    <w:rsid w:val="001845BF"/>
    <w:pPr>
      <w:spacing w:line="240" w:lineRule="auto"/>
    </w:pPr>
    <w:rPr>
      <w:rFonts w:ascii="Segoe UI" w:hAnsi="Segoe UI" w:cs="Segoe UI"/>
      <w:sz w:val="18"/>
      <w:szCs w:val="18"/>
    </w:rPr>
  </w:style>
  <w:style w:type="character" w:customStyle="1" w:styleId="aa">
    <w:name w:val="Текст выноски Знак"/>
    <w:basedOn w:val="a0"/>
    <w:link w:val="a9"/>
    <w:uiPriority w:val="99"/>
    <w:semiHidden/>
    <w:rsid w:val="001845B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8653800">
      <w:bodyDiv w:val="1"/>
      <w:marLeft w:val="0"/>
      <w:marRight w:val="0"/>
      <w:marTop w:val="0"/>
      <w:marBottom w:val="0"/>
      <w:divBdr>
        <w:top w:val="none" w:sz="0" w:space="0" w:color="auto"/>
        <w:left w:val="none" w:sz="0" w:space="0" w:color="auto"/>
        <w:bottom w:val="none" w:sz="0" w:space="0" w:color="auto"/>
        <w:right w:val="none" w:sz="0" w:space="0" w:color="auto"/>
      </w:divBdr>
    </w:div>
    <w:div w:id="20880726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edoc.coe.int/en/youth-in-europe/8964-leaflet-strategiya-molodizhnogo-sektoru-do-2030-roku-zaluchayuchi-molodikh-lyudej-do-cinnostej-radi-yevropi-youth-sector-strategy-2030-ukrainian-version.html?utm_source=chatgpt.com" TargetMode="External"/><Relationship Id="rId3" Type="http://schemas.openxmlformats.org/officeDocument/2006/relationships/settings" Target="settings.xml"/><Relationship Id="rId7" Type="http://schemas.openxmlformats.org/officeDocument/2006/relationships/hyperlink" Target="https://eur-lex.europa.eu/EN/legal-content/summary/eu-youth-strategy-2019-2027.html?utm_source=chatgpt.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zakon.rada.gov.ua/go/94/2021" TargetMode="External"/><Relationship Id="rId5" Type="http://schemas.openxmlformats.org/officeDocument/2006/relationships/hyperlink" Target="https://zakon.rada.gov.ua/go/94/2021"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101</TotalTime>
  <Pages>24</Pages>
  <Words>6251</Words>
  <Characters>35632</Characters>
  <Application>Microsoft Office Word</Application>
  <DocSecurity>0</DocSecurity>
  <Lines>296</Lines>
  <Paragraphs>83</Paragraphs>
  <ScaleCrop>false</ScaleCrop>
  <HeadingPairs>
    <vt:vector size="4" baseType="variant">
      <vt:variant>
        <vt:lpstr>Название</vt:lpstr>
      </vt:variant>
      <vt:variant>
        <vt:i4>1</vt:i4>
      </vt:variant>
      <vt:variant>
        <vt:lpstr>Заголовки</vt:lpstr>
      </vt:variant>
      <vt:variant>
        <vt:i4>2</vt:i4>
      </vt:variant>
    </vt:vector>
  </HeadingPairs>
  <TitlesOfParts>
    <vt:vector size="3" baseType="lpstr">
      <vt:lpstr/>
      <vt:lpstr>        </vt:lpstr>
      <vt:lpstr>        ПЛАН РЕАЛІЗАЦІЇ СТРАТЕГІЇ, ОЦІНКА ТА КОРЕГУВАННЯ</vt:lpstr>
    </vt:vector>
  </TitlesOfParts>
  <Company/>
  <LinksUpToDate>false</LinksUpToDate>
  <CharactersWithSpaces>41800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user-tmr</cp:lastModifiedBy>
  <cp:revision>12</cp:revision>
  <cp:lastPrinted>2026-06-11T06:48:00Z</cp:lastPrinted>
  <dcterms:created xsi:type="dcterms:W3CDTF">2026-06-09T04:59:00Z</dcterms:created>
  <dcterms:modified xsi:type="dcterms:W3CDTF">2026-06-11T06:48:00Z</dcterms:modified>
</cp:coreProperties>
</file>